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177" w:type="dxa"/>
        <w:jc w:val="center"/>
        <w:tblLook w:val="0000" w:firstRow="0" w:lastRow="0" w:firstColumn="0" w:lastColumn="0" w:noHBand="0" w:noVBand="0"/>
      </w:tblPr>
      <w:tblGrid>
        <w:gridCol w:w="8177"/>
      </w:tblGrid>
      <w:tr w:rsidR="00F8183E" w:rsidRPr="008705B2" w14:paraId="306D1B70" w14:textId="77777777">
        <w:trPr>
          <w:trHeight w:val="1701"/>
          <w:jc w:val="center"/>
        </w:trPr>
        <w:tc>
          <w:tcPr>
            <w:tcW w:w="8177" w:type="dxa"/>
            <w:vAlign w:val="center"/>
          </w:tcPr>
          <w:p w14:paraId="2A2A362D" w14:textId="77777777" w:rsidR="00F8183E" w:rsidRPr="008705B2" w:rsidRDefault="00E81374">
            <w:pPr>
              <w:spacing w:line="360" w:lineRule="auto"/>
              <w:jc w:val="center"/>
              <w:rPr>
                <w:rFonts w:eastAsia="黑体"/>
                <w:spacing w:val="20"/>
                <w:sz w:val="32"/>
                <w:szCs w:val="32"/>
              </w:rPr>
            </w:pPr>
            <w:r w:rsidRPr="008705B2">
              <w:rPr>
                <w:rFonts w:eastAsia="黑体" w:hint="eastAsia"/>
                <w:spacing w:val="20"/>
                <w:sz w:val="32"/>
              </w:rPr>
              <w:t>中国核学会团体</w:t>
            </w:r>
            <w:r w:rsidRPr="008705B2">
              <w:rPr>
                <w:rFonts w:eastAsia="黑体"/>
                <w:spacing w:val="20"/>
                <w:sz w:val="32"/>
              </w:rPr>
              <w:t>标准</w:t>
            </w:r>
          </w:p>
        </w:tc>
      </w:tr>
      <w:bookmarkStart w:id="0" w:name="_Hlk187136951"/>
      <w:tr w:rsidR="00F8183E" w:rsidRPr="008705B2" w14:paraId="6AC8F226" w14:textId="77777777">
        <w:trPr>
          <w:trHeight w:val="4535"/>
          <w:jc w:val="center"/>
        </w:trPr>
        <w:tc>
          <w:tcPr>
            <w:tcW w:w="8177" w:type="dxa"/>
            <w:vAlign w:val="center"/>
          </w:tcPr>
          <w:p w14:paraId="64C26F47" w14:textId="42327236" w:rsidR="00F8183E" w:rsidRPr="008705B2" w:rsidRDefault="0090646B" w:rsidP="00652ABA">
            <w:pPr>
              <w:pStyle w:val="af7"/>
              <w:framePr w:w="0" w:hRule="auto" w:wrap="auto" w:vAnchor="margin" w:hAnchor="text" w:yAlign="inline" w:anchorLock="1"/>
            </w:pPr>
            <w:r>
              <w:rPr>
                <w:rFonts w:cs="黑体"/>
                <w:spacing w:val="20"/>
                <w:sz w:val="44"/>
                <w:szCs w:val="44"/>
              </w:rPr>
              <w:fldChar w:fldCharType="begin">
                <w:ffData>
                  <w:name w:val="CSTD_NAME"/>
                  <w:enabled/>
                  <w:calcOnExit w:val="0"/>
                  <w:textInput>
                    <w:default w:val="Cr涂层表面改性锆合金包壳高温拉-拉内压疲劳性能试验方法"/>
                  </w:textInput>
                </w:ffData>
              </w:fldChar>
            </w:r>
            <w:bookmarkStart w:id="1" w:name="CSTD_NAME"/>
            <w:r>
              <w:rPr>
                <w:rFonts w:cs="黑体"/>
                <w:spacing w:val="20"/>
                <w:sz w:val="44"/>
                <w:szCs w:val="44"/>
              </w:rPr>
              <w:instrText xml:space="preserve"> FORMTEXT </w:instrText>
            </w:r>
            <w:r>
              <w:rPr>
                <w:rFonts w:cs="黑体"/>
                <w:spacing w:val="20"/>
                <w:sz w:val="44"/>
                <w:szCs w:val="44"/>
              </w:rPr>
            </w:r>
            <w:r>
              <w:rPr>
                <w:rFonts w:cs="黑体"/>
                <w:spacing w:val="20"/>
                <w:sz w:val="44"/>
                <w:szCs w:val="44"/>
              </w:rPr>
              <w:fldChar w:fldCharType="separate"/>
            </w:r>
            <w:r>
              <w:rPr>
                <w:rFonts w:cs="黑体"/>
                <w:spacing w:val="20"/>
                <w:sz w:val="44"/>
                <w:szCs w:val="44"/>
              </w:rPr>
              <w:t>Cr涂层表面改性锆合金包壳高温拉-拉内压疲劳性能试验方法</w:t>
            </w:r>
            <w:r>
              <w:rPr>
                <w:rFonts w:cs="黑体"/>
                <w:spacing w:val="20"/>
                <w:sz w:val="44"/>
                <w:szCs w:val="44"/>
              </w:rPr>
              <w:fldChar w:fldCharType="end"/>
            </w:r>
            <w:bookmarkEnd w:id="1"/>
            <w:r w:rsidR="005E4C4B" w:rsidRPr="008705B2">
              <w:rPr>
                <w:rFonts w:cs="黑体" w:hint="eastAsia"/>
                <w:spacing w:val="20"/>
                <w:sz w:val="44"/>
                <w:szCs w:val="44"/>
              </w:rPr>
              <w:t>技术规范</w:t>
            </w:r>
            <w:bookmarkEnd w:id="0"/>
          </w:p>
          <w:p w14:paraId="1233DD99" w14:textId="77777777" w:rsidR="00F8183E" w:rsidRPr="008705B2" w:rsidRDefault="00E81374">
            <w:pPr>
              <w:spacing w:line="720" w:lineRule="auto"/>
              <w:jc w:val="center"/>
              <w:rPr>
                <w:rFonts w:eastAsia="黑体"/>
                <w:spacing w:val="20"/>
                <w:sz w:val="44"/>
                <w:szCs w:val="44"/>
              </w:rPr>
            </w:pPr>
            <w:r w:rsidRPr="008705B2">
              <w:rPr>
                <w:rFonts w:eastAsia="黑体" w:cs="黑体" w:hint="eastAsia"/>
                <w:spacing w:val="20"/>
                <w:sz w:val="44"/>
                <w:szCs w:val="44"/>
              </w:rPr>
              <w:t>（</w:t>
            </w:r>
            <w:r w:rsidR="005E4C4B" w:rsidRPr="008705B2">
              <w:rPr>
                <w:rFonts w:eastAsia="黑体" w:cs="黑体" w:hint="eastAsia"/>
                <w:spacing w:val="20"/>
                <w:sz w:val="44"/>
                <w:szCs w:val="44"/>
              </w:rPr>
              <w:t>征求意见</w:t>
            </w:r>
            <w:r w:rsidRPr="008705B2">
              <w:rPr>
                <w:rFonts w:eastAsia="黑体" w:cs="黑体" w:hint="eastAsia"/>
                <w:spacing w:val="20"/>
                <w:sz w:val="44"/>
                <w:szCs w:val="44"/>
              </w:rPr>
              <w:t>稿）</w:t>
            </w:r>
          </w:p>
        </w:tc>
      </w:tr>
      <w:tr w:rsidR="00F8183E" w:rsidRPr="008705B2" w14:paraId="744711FD" w14:textId="77777777">
        <w:trPr>
          <w:trHeight w:val="4535"/>
          <w:jc w:val="center"/>
        </w:trPr>
        <w:tc>
          <w:tcPr>
            <w:tcW w:w="8177" w:type="dxa"/>
            <w:vAlign w:val="center"/>
          </w:tcPr>
          <w:p w14:paraId="39FE8528" w14:textId="77777777" w:rsidR="00F8183E" w:rsidRPr="008705B2" w:rsidRDefault="00E81374">
            <w:pPr>
              <w:spacing w:line="360" w:lineRule="auto"/>
              <w:jc w:val="center"/>
              <w:rPr>
                <w:rFonts w:eastAsia="黑体"/>
                <w:spacing w:val="20"/>
                <w:sz w:val="44"/>
                <w:szCs w:val="44"/>
              </w:rPr>
            </w:pPr>
            <w:r w:rsidRPr="008705B2">
              <w:rPr>
                <w:rFonts w:eastAsia="黑体" w:hint="eastAsia"/>
                <w:spacing w:val="20"/>
                <w:sz w:val="44"/>
                <w:szCs w:val="32"/>
              </w:rPr>
              <w:t>编制说明</w:t>
            </w:r>
          </w:p>
        </w:tc>
      </w:tr>
      <w:tr w:rsidR="00F8183E" w:rsidRPr="008705B2" w14:paraId="3C3442EF" w14:textId="77777777">
        <w:trPr>
          <w:trHeight w:val="2835"/>
          <w:jc w:val="center"/>
        </w:trPr>
        <w:tc>
          <w:tcPr>
            <w:tcW w:w="8177" w:type="dxa"/>
            <w:vAlign w:val="center"/>
          </w:tcPr>
          <w:p w14:paraId="658A1B88" w14:textId="77777777" w:rsidR="00F8183E" w:rsidRPr="008705B2" w:rsidRDefault="00E81374">
            <w:pPr>
              <w:spacing w:line="360" w:lineRule="auto"/>
              <w:jc w:val="center"/>
              <w:rPr>
                <w:rFonts w:eastAsia="黑体"/>
                <w:spacing w:val="20"/>
                <w:sz w:val="32"/>
              </w:rPr>
            </w:pPr>
            <w:r w:rsidRPr="008705B2">
              <w:rPr>
                <w:rFonts w:eastAsia="黑体" w:hint="eastAsia"/>
                <w:spacing w:val="20"/>
                <w:sz w:val="32"/>
              </w:rPr>
              <w:t>标准起草工作组</w:t>
            </w:r>
          </w:p>
          <w:p w14:paraId="7E4F1DB9" w14:textId="77777777" w:rsidR="00F8183E" w:rsidRPr="008705B2" w:rsidRDefault="00E81374">
            <w:pPr>
              <w:spacing w:line="360" w:lineRule="auto"/>
              <w:jc w:val="center"/>
              <w:rPr>
                <w:rFonts w:eastAsia="黑体"/>
                <w:sz w:val="28"/>
                <w:szCs w:val="28"/>
              </w:rPr>
            </w:pPr>
            <w:r w:rsidRPr="008705B2">
              <w:rPr>
                <w:rFonts w:eastAsia="黑体"/>
                <w:spacing w:val="20"/>
                <w:sz w:val="32"/>
              </w:rPr>
              <w:t>20</w:t>
            </w:r>
            <w:r w:rsidR="005E4C4B" w:rsidRPr="008705B2">
              <w:rPr>
                <w:rFonts w:eastAsia="黑体"/>
                <w:spacing w:val="20"/>
                <w:sz w:val="32"/>
              </w:rPr>
              <w:t>25</w:t>
            </w:r>
            <w:r w:rsidRPr="008705B2">
              <w:rPr>
                <w:rFonts w:eastAsia="黑体" w:hint="eastAsia"/>
                <w:spacing w:val="20"/>
                <w:sz w:val="32"/>
              </w:rPr>
              <w:t>年</w:t>
            </w:r>
            <w:r w:rsidR="005E4C4B" w:rsidRPr="008705B2">
              <w:rPr>
                <w:rFonts w:eastAsia="黑体"/>
                <w:spacing w:val="20"/>
                <w:sz w:val="32"/>
              </w:rPr>
              <w:t>1</w:t>
            </w:r>
            <w:r w:rsidRPr="008705B2">
              <w:rPr>
                <w:rFonts w:eastAsia="黑体" w:hint="eastAsia"/>
                <w:spacing w:val="20"/>
                <w:sz w:val="32"/>
              </w:rPr>
              <w:t>月</w:t>
            </w:r>
          </w:p>
        </w:tc>
      </w:tr>
    </w:tbl>
    <w:p w14:paraId="3BF8A710" w14:textId="77777777" w:rsidR="00F8183E" w:rsidRPr="008705B2" w:rsidRDefault="00F8183E">
      <w:pPr>
        <w:snapToGrid w:val="0"/>
        <w:jc w:val="center"/>
        <w:rPr>
          <w:rFonts w:ascii="黑体" w:eastAsia="黑体"/>
          <w:spacing w:val="20"/>
          <w:sz w:val="30"/>
          <w:szCs w:val="30"/>
        </w:rPr>
        <w:sectPr w:rsidR="00F8183E" w:rsidRPr="008705B2">
          <w:footerReference w:type="default" r:id="rId8"/>
          <w:pgSz w:w="11906" w:h="16838"/>
          <w:pgMar w:top="1440" w:right="1800" w:bottom="1440" w:left="1800" w:header="851" w:footer="992" w:gutter="0"/>
          <w:cols w:space="425"/>
          <w:docGrid w:type="lines" w:linePitch="312"/>
        </w:sectPr>
      </w:pPr>
    </w:p>
    <w:p w14:paraId="4D2DDB4A" w14:textId="77777777" w:rsidR="00F8183E" w:rsidRPr="008705B2" w:rsidRDefault="00F8183E">
      <w:pPr>
        <w:snapToGrid w:val="0"/>
        <w:jc w:val="center"/>
        <w:rPr>
          <w:rFonts w:ascii="黑体" w:eastAsia="黑体"/>
          <w:spacing w:val="20"/>
          <w:sz w:val="30"/>
          <w:szCs w:val="30"/>
        </w:rPr>
      </w:pPr>
    </w:p>
    <w:p w14:paraId="628AE2DC" w14:textId="0D2A5425" w:rsidR="00652ABA" w:rsidRPr="008705B2" w:rsidRDefault="0090646B" w:rsidP="00652ABA">
      <w:pPr>
        <w:pStyle w:val="af7"/>
        <w:framePr w:w="0" w:hRule="auto" w:wrap="auto" w:vAnchor="margin" w:hAnchor="text" w:yAlign="inline" w:anchorLock="1"/>
        <w:rPr>
          <w:rFonts w:hAnsiTheme="minorHAnsi" w:cstheme="minorBidi"/>
          <w:bCs w:val="0"/>
          <w:noProof w:val="0"/>
          <w:spacing w:val="20"/>
          <w:kern w:val="2"/>
          <w:sz w:val="32"/>
          <w:szCs w:val="30"/>
        </w:rPr>
      </w:pPr>
      <w:r>
        <w:rPr>
          <w:rFonts w:hAnsiTheme="minorHAnsi" w:cstheme="minorBidi"/>
          <w:bCs w:val="0"/>
          <w:noProof w:val="0"/>
          <w:spacing w:val="20"/>
          <w:kern w:val="2"/>
          <w:sz w:val="32"/>
          <w:szCs w:val="30"/>
        </w:rPr>
        <w:fldChar w:fldCharType="begin">
          <w:ffData>
            <w:name w:val=""/>
            <w:enabled/>
            <w:calcOnExit w:val="0"/>
            <w:textInput>
              <w:default w:val="Cr涂层表面改性锆合金包壳高温拉-拉内压疲劳性能试验方法"/>
            </w:textInput>
          </w:ffData>
        </w:fldChar>
      </w:r>
      <w:r>
        <w:rPr>
          <w:rFonts w:hAnsiTheme="minorHAnsi" w:cstheme="minorBidi"/>
          <w:bCs w:val="0"/>
          <w:noProof w:val="0"/>
          <w:spacing w:val="20"/>
          <w:kern w:val="2"/>
          <w:sz w:val="32"/>
          <w:szCs w:val="30"/>
        </w:rPr>
        <w:instrText xml:space="preserve"> FORMTEXT </w:instrText>
      </w:r>
      <w:r>
        <w:rPr>
          <w:rFonts w:hAnsiTheme="minorHAnsi" w:cstheme="minorBidi"/>
          <w:bCs w:val="0"/>
          <w:noProof w:val="0"/>
          <w:spacing w:val="20"/>
          <w:kern w:val="2"/>
          <w:sz w:val="32"/>
          <w:szCs w:val="30"/>
        </w:rPr>
      </w:r>
      <w:r>
        <w:rPr>
          <w:rFonts w:hAnsiTheme="minorHAnsi" w:cstheme="minorBidi"/>
          <w:bCs w:val="0"/>
          <w:noProof w:val="0"/>
          <w:spacing w:val="20"/>
          <w:kern w:val="2"/>
          <w:sz w:val="32"/>
          <w:szCs w:val="30"/>
        </w:rPr>
        <w:fldChar w:fldCharType="separate"/>
      </w:r>
      <w:r>
        <w:rPr>
          <w:rFonts w:hAnsiTheme="minorHAnsi" w:cstheme="minorBidi" w:hint="eastAsia"/>
          <w:bCs w:val="0"/>
          <w:spacing w:val="20"/>
          <w:kern w:val="2"/>
          <w:sz w:val="32"/>
          <w:szCs w:val="30"/>
        </w:rPr>
        <w:t>Cr涂层表面改性锆合金包壳高温拉-拉内压疲劳性能试验方法</w:t>
      </w:r>
      <w:r>
        <w:rPr>
          <w:rFonts w:hAnsiTheme="minorHAnsi" w:cstheme="minorBidi"/>
          <w:bCs w:val="0"/>
          <w:noProof w:val="0"/>
          <w:spacing w:val="20"/>
          <w:kern w:val="2"/>
          <w:sz w:val="32"/>
          <w:szCs w:val="30"/>
        </w:rPr>
        <w:fldChar w:fldCharType="end"/>
      </w:r>
      <w:r w:rsidR="00652ABA" w:rsidRPr="008705B2">
        <w:rPr>
          <w:rFonts w:hAnsiTheme="minorHAnsi" w:cstheme="minorBidi" w:hint="eastAsia"/>
          <w:bCs w:val="0"/>
          <w:noProof w:val="0"/>
          <w:spacing w:val="20"/>
          <w:kern w:val="2"/>
          <w:sz w:val="32"/>
          <w:szCs w:val="30"/>
        </w:rPr>
        <w:t>技术规范</w:t>
      </w:r>
    </w:p>
    <w:p w14:paraId="5C554968" w14:textId="77777777" w:rsidR="00F8183E" w:rsidRPr="008705B2" w:rsidRDefault="00E81374">
      <w:pPr>
        <w:numPr>
          <w:ilvl w:val="0"/>
          <w:numId w:val="4"/>
        </w:numPr>
        <w:spacing w:before="240" w:after="240" w:line="360" w:lineRule="auto"/>
        <w:rPr>
          <w:rFonts w:eastAsia="黑体"/>
          <w:sz w:val="28"/>
          <w:szCs w:val="28"/>
        </w:rPr>
      </w:pPr>
      <w:r w:rsidRPr="008705B2">
        <w:rPr>
          <w:rFonts w:eastAsia="黑体" w:hint="eastAsia"/>
          <w:sz w:val="28"/>
          <w:szCs w:val="28"/>
        </w:rPr>
        <w:t>工作简况</w:t>
      </w:r>
    </w:p>
    <w:p w14:paraId="4EEE0F4B" w14:textId="77777777" w:rsidR="00F8183E" w:rsidRPr="008705B2" w:rsidRDefault="00E81374">
      <w:pPr>
        <w:pStyle w:val="a7"/>
        <w:numPr>
          <w:ilvl w:val="0"/>
          <w:numId w:val="13"/>
        </w:numPr>
        <w:spacing w:before="240" w:after="240" w:line="360" w:lineRule="auto"/>
        <w:ind w:firstLineChars="0"/>
        <w:rPr>
          <w:rFonts w:ascii="黑体" w:eastAsia="黑体" w:hAnsi="黑体"/>
          <w:noProof/>
          <w:kern w:val="0"/>
          <w:sz w:val="24"/>
        </w:rPr>
      </w:pPr>
      <w:r w:rsidRPr="008705B2">
        <w:rPr>
          <w:rFonts w:ascii="黑体" w:eastAsia="黑体" w:hAnsi="黑体" w:hint="eastAsia"/>
          <w:noProof/>
          <w:kern w:val="0"/>
          <w:sz w:val="24"/>
        </w:rPr>
        <w:t>任务</w:t>
      </w:r>
      <w:r w:rsidRPr="008705B2">
        <w:rPr>
          <w:rFonts w:ascii="黑体" w:eastAsia="黑体" w:hAnsi="黑体"/>
          <w:noProof/>
          <w:kern w:val="0"/>
          <w:sz w:val="24"/>
        </w:rPr>
        <w:t>来源</w:t>
      </w:r>
    </w:p>
    <w:p w14:paraId="1DCD9B65" w14:textId="37A730BA" w:rsidR="00F8183E" w:rsidRPr="0090646B" w:rsidRDefault="00E81374" w:rsidP="0090646B">
      <w:pPr>
        <w:pStyle w:val="CM49"/>
        <w:spacing w:after="0" w:line="360" w:lineRule="auto"/>
        <w:ind w:firstLineChars="200" w:firstLine="480"/>
        <w:jc w:val="both"/>
      </w:pPr>
      <w:r w:rsidRPr="0090646B">
        <w:t>本标准</w:t>
      </w:r>
      <w:r w:rsidRPr="0090646B">
        <w:rPr>
          <w:rFonts w:hint="eastAsia"/>
        </w:rPr>
        <w:t>制订</w:t>
      </w:r>
      <w:r w:rsidRPr="0090646B">
        <w:t>任务由</w:t>
      </w:r>
      <w:r w:rsidRPr="008705B2">
        <w:rPr>
          <w:rFonts w:hint="eastAsia"/>
        </w:rPr>
        <w:t>中国</w:t>
      </w:r>
      <w:r w:rsidRPr="008705B2">
        <w:t>核学会</w:t>
      </w:r>
      <w:r w:rsidRPr="0090646B">
        <w:t>文件《</w:t>
      </w:r>
      <w:r w:rsidRPr="0090646B">
        <w:rPr>
          <w:rFonts w:hint="eastAsia"/>
        </w:rPr>
        <w:t>关于下达</w:t>
      </w:r>
      <w:r w:rsidR="005E4C4B" w:rsidRPr="0090646B">
        <w:t>2024</w:t>
      </w:r>
      <w:r w:rsidRPr="0090646B">
        <w:rPr>
          <w:rFonts w:hint="eastAsia"/>
        </w:rPr>
        <w:t>年度第</w:t>
      </w:r>
      <w:r w:rsidR="005E4C4B" w:rsidRPr="0090646B">
        <w:rPr>
          <w:rFonts w:hint="eastAsia"/>
        </w:rPr>
        <w:t>二</w:t>
      </w:r>
      <w:r w:rsidRPr="0090646B">
        <w:rPr>
          <w:rFonts w:hint="eastAsia"/>
        </w:rPr>
        <w:t>批</w:t>
      </w:r>
      <w:r w:rsidR="005E4C4B" w:rsidRPr="0090646B">
        <w:rPr>
          <w:rFonts w:hint="eastAsia"/>
        </w:rPr>
        <w:t>中国核学会</w:t>
      </w:r>
      <w:r w:rsidRPr="0090646B">
        <w:rPr>
          <w:rFonts w:hint="eastAsia"/>
        </w:rPr>
        <w:t>团体标准</w:t>
      </w:r>
      <w:r w:rsidR="005E4C4B" w:rsidRPr="0090646B">
        <w:rPr>
          <w:rFonts w:hint="eastAsia"/>
        </w:rPr>
        <w:t>立项</w:t>
      </w:r>
      <w:r w:rsidRPr="0090646B">
        <w:rPr>
          <w:rFonts w:hint="eastAsia"/>
        </w:rPr>
        <w:t>计划的通知</w:t>
      </w:r>
      <w:r w:rsidRPr="0090646B">
        <w:t>》（</w:t>
      </w:r>
      <w:r w:rsidRPr="0090646B">
        <w:rPr>
          <w:rFonts w:hint="eastAsia"/>
        </w:rPr>
        <w:t>中核学发〔20</w:t>
      </w:r>
      <w:r w:rsidR="005E4C4B" w:rsidRPr="0090646B">
        <w:t>24</w:t>
      </w:r>
      <w:r w:rsidRPr="0090646B">
        <w:rPr>
          <w:rFonts w:hint="eastAsia"/>
        </w:rPr>
        <w:t>〕</w:t>
      </w:r>
      <w:r w:rsidR="005E4C4B" w:rsidRPr="0090646B">
        <w:t>191</w:t>
      </w:r>
      <w:r w:rsidRPr="0090646B">
        <w:rPr>
          <w:rFonts w:hint="eastAsia"/>
        </w:rPr>
        <w:t>号</w:t>
      </w:r>
      <w:r w:rsidRPr="0090646B">
        <w:t>）下达，</w:t>
      </w:r>
      <w:r w:rsidRPr="0090646B">
        <w:rPr>
          <w:rFonts w:hint="eastAsia"/>
        </w:rPr>
        <w:t>标准计划名称为《</w:t>
      </w:r>
      <w:r w:rsidR="0090646B" w:rsidRPr="0090646B">
        <w:rPr>
          <w:rFonts w:hint="eastAsia"/>
        </w:rPr>
        <w:t>Cr涂层表面改性锆合金包壳高温拉-拉内压疲劳性能试验方法</w:t>
      </w:r>
      <w:r w:rsidRPr="0090646B">
        <w:rPr>
          <w:rFonts w:hint="eastAsia"/>
        </w:rPr>
        <w:t>》，</w:t>
      </w:r>
      <w:r w:rsidRPr="0090646B">
        <w:t>由</w:t>
      </w:r>
      <w:bookmarkStart w:id="2" w:name="_Hlk187137525"/>
      <w:r w:rsidR="005E4C4B" w:rsidRPr="0090646B">
        <w:rPr>
          <w:rFonts w:hint="eastAsia"/>
        </w:rPr>
        <w:t>中国核动力研究设计院</w:t>
      </w:r>
      <w:bookmarkEnd w:id="2"/>
      <w:r w:rsidR="005E4C4B" w:rsidRPr="0090646B">
        <w:rPr>
          <w:rFonts w:hint="eastAsia"/>
        </w:rPr>
        <w:t>牵头</w:t>
      </w:r>
      <w:r w:rsidRPr="0090646B">
        <w:rPr>
          <w:rFonts w:hint="eastAsia"/>
        </w:rPr>
        <w:t>起草</w:t>
      </w:r>
      <w:r w:rsidRPr="0090646B">
        <w:t>。</w:t>
      </w:r>
    </w:p>
    <w:p w14:paraId="73CF41C9" w14:textId="77777777" w:rsidR="00F8183E" w:rsidRPr="008705B2" w:rsidRDefault="005E4C4B">
      <w:pPr>
        <w:pStyle w:val="a7"/>
        <w:numPr>
          <w:ilvl w:val="0"/>
          <w:numId w:val="13"/>
        </w:numPr>
        <w:spacing w:before="240" w:after="240" w:line="360" w:lineRule="auto"/>
        <w:ind w:firstLineChars="0"/>
        <w:rPr>
          <w:rFonts w:ascii="黑体" w:eastAsia="黑体" w:hAnsi="黑体"/>
          <w:noProof/>
          <w:kern w:val="0"/>
          <w:sz w:val="24"/>
        </w:rPr>
      </w:pPr>
      <w:r w:rsidRPr="008705B2">
        <w:rPr>
          <w:rFonts w:ascii="黑体" w:eastAsia="黑体" w:hAnsi="黑体" w:hint="eastAsia"/>
          <w:noProof/>
          <w:kern w:val="0"/>
          <w:sz w:val="24"/>
        </w:rPr>
        <w:t>制定背景</w:t>
      </w:r>
    </w:p>
    <w:p w14:paraId="711BC2E3" w14:textId="77777777" w:rsidR="005E4C4B" w:rsidRPr="00BF1ECC" w:rsidRDefault="00BF1ECC" w:rsidP="00BF1ECC">
      <w:pPr>
        <w:pStyle w:val="CM49"/>
        <w:spacing w:after="0" w:line="360" w:lineRule="auto"/>
        <w:ind w:firstLineChars="200" w:firstLine="480"/>
        <w:jc w:val="both"/>
      </w:pPr>
      <w:r w:rsidRPr="00BF1ECC">
        <w:rPr>
          <w:rFonts w:hint="eastAsia"/>
        </w:rPr>
        <w:t>ATF耐事故燃料是针对燃料元件抵御严重事故能力而提出的一种革新型燃料技术，能够有效提升核燃料及反应堆的安全性。</w:t>
      </w:r>
      <w:r>
        <w:rPr>
          <w:rFonts w:hint="eastAsia"/>
        </w:rPr>
        <w:t>中国</w:t>
      </w:r>
      <w:r w:rsidRPr="00BF1ECC">
        <w:rPr>
          <w:rFonts w:hint="eastAsia"/>
        </w:rPr>
        <w:t>面向世界核燃料技术发展科技前沿，致力于加快ATF技术的工程应用目标，制定了Cr涂层包壳技术与自主燃料组件技术融合的发展路线。Cr涂层包壳耐事故燃料组件，能够显著提升包壳抗高温氧化性能，有效降低失水事故下氢气生成量，并且明显增强燃料组件抗腐蚀、抗磨蚀性能</w:t>
      </w:r>
      <w:r w:rsidR="0022191A">
        <w:rPr>
          <w:rFonts w:hint="eastAsia"/>
        </w:rPr>
        <w:t>。</w:t>
      </w:r>
    </w:p>
    <w:p w14:paraId="51107CDE" w14:textId="77777777" w:rsidR="00F8183E" w:rsidRDefault="00E81374">
      <w:pPr>
        <w:pStyle w:val="a7"/>
        <w:numPr>
          <w:ilvl w:val="0"/>
          <w:numId w:val="13"/>
        </w:numPr>
        <w:spacing w:before="240" w:after="240" w:line="360" w:lineRule="auto"/>
        <w:ind w:firstLineChars="0"/>
        <w:rPr>
          <w:rFonts w:eastAsia="黑体"/>
          <w:sz w:val="28"/>
          <w:szCs w:val="28"/>
        </w:rPr>
      </w:pPr>
      <w:r>
        <w:rPr>
          <w:rFonts w:ascii="黑体" w:eastAsia="黑体" w:hAnsi="黑体" w:hint="eastAsia"/>
          <w:noProof/>
          <w:kern w:val="0"/>
          <w:sz w:val="24"/>
        </w:rPr>
        <w:t>主要</w:t>
      </w:r>
      <w:r>
        <w:rPr>
          <w:rFonts w:ascii="黑体" w:eastAsia="黑体" w:hAnsi="黑体"/>
          <w:noProof/>
          <w:kern w:val="0"/>
          <w:sz w:val="24"/>
        </w:rPr>
        <w:t>工作过程</w:t>
      </w:r>
    </w:p>
    <w:p w14:paraId="00933AFA" w14:textId="77777777" w:rsidR="00F8183E" w:rsidRDefault="00E81374">
      <w:pPr>
        <w:pStyle w:val="CM49"/>
        <w:spacing w:after="0" w:line="360" w:lineRule="auto"/>
        <w:ind w:firstLineChars="200" w:firstLine="480"/>
        <w:jc w:val="both"/>
      </w:pPr>
      <w:r>
        <w:rPr>
          <w:rFonts w:hint="eastAsia"/>
        </w:rPr>
        <w:t>本标准的起草过程主要分为前期准备、征求意见稿编制、送审稿编制、报批稿编制阶段。</w:t>
      </w:r>
    </w:p>
    <w:p w14:paraId="2B4A32A2" w14:textId="77777777"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4.1 前期准备</w:t>
      </w:r>
    </w:p>
    <w:p w14:paraId="588531F7" w14:textId="0DE1CC9B" w:rsidR="00F8183E" w:rsidRPr="00A06C66" w:rsidRDefault="00BF1ECC" w:rsidP="0090646B">
      <w:pPr>
        <w:pStyle w:val="CM49"/>
        <w:spacing w:after="0" w:line="360" w:lineRule="auto"/>
        <w:ind w:firstLineChars="200" w:firstLine="480"/>
        <w:jc w:val="both"/>
      </w:pPr>
      <w:r w:rsidRPr="00A06C66">
        <w:rPr>
          <w:rFonts w:hint="eastAsia"/>
        </w:rPr>
        <w:t>2</w:t>
      </w:r>
      <w:r w:rsidRPr="0090646B">
        <w:t>024</w:t>
      </w:r>
      <w:r w:rsidRPr="0090646B">
        <w:rPr>
          <w:rFonts w:hint="eastAsia"/>
        </w:rPr>
        <w:t>年6月，中国核动力研究设计院作为牵头单位向中国核学会提交了标准立项建议书和标准草案。6月2</w:t>
      </w:r>
      <w:r w:rsidRPr="0090646B">
        <w:t>6</w:t>
      </w:r>
      <w:r w:rsidRPr="0090646B">
        <w:rPr>
          <w:rFonts w:hint="eastAsia"/>
        </w:rPr>
        <w:t>日，中国核学会在北京组织召开了立项技术把关会。来自中核集团、中核战略规划研究总院、国家电投中央研究院、清华大学、重庆大学、上海核工程研究设计院股份有限公司、中广核研究院有限公司、中国</w:t>
      </w:r>
      <w:r w:rsidRPr="0090646B">
        <w:rPr>
          <w:rFonts w:hint="eastAsia"/>
        </w:rPr>
        <w:lastRenderedPageBreak/>
        <w:t>核动力研究设计院等单位的专家和代表参会。与会专家经质询和讨论，同意本项目立项，并将项目名</w:t>
      </w:r>
      <w:r w:rsidRPr="00A06C66">
        <w:rPr>
          <w:rFonts w:hint="eastAsia"/>
        </w:rPr>
        <w:t>称调整为《</w:t>
      </w:r>
      <w:r w:rsidR="0090646B" w:rsidRPr="0090646B">
        <w:rPr>
          <w:rFonts w:hint="eastAsia"/>
        </w:rPr>
        <w:t>Cr涂层表面改性锆合金包壳高温拉-拉内压疲劳性能试验方法</w:t>
      </w:r>
      <w:r w:rsidRPr="00A06C66">
        <w:rPr>
          <w:rFonts w:hint="eastAsia"/>
        </w:rPr>
        <w:t>》。</w:t>
      </w:r>
      <w:r w:rsidR="0022191A" w:rsidRPr="00A06C66">
        <w:rPr>
          <w:rFonts w:hint="eastAsia"/>
        </w:rPr>
        <w:t>2</w:t>
      </w:r>
      <w:r w:rsidR="0022191A" w:rsidRPr="00A06C66">
        <w:t>024</w:t>
      </w:r>
      <w:r w:rsidR="0022191A" w:rsidRPr="00A06C66">
        <w:rPr>
          <w:rFonts w:hint="eastAsia"/>
        </w:rPr>
        <w:t>年8月，正式下达计划。</w:t>
      </w:r>
      <w:bookmarkStart w:id="3" w:name="_GoBack"/>
      <w:bookmarkEnd w:id="3"/>
    </w:p>
    <w:p w14:paraId="08DAB028" w14:textId="77777777"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4.2 征求意见稿编制</w:t>
      </w:r>
    </w:p>
    <w:p w14:paraId="48A49B0A" w14:textId="77777777" w:rsidR="00F8183E" w:rsidRDefault="00E81374">
      <w:pPr>
        <w:spacing w:line="360" w:lineRule="auto"/>
        <w:ind w:firstLineChars="200" w:firstLine="480"/>
        <w:rPr>
          <w:sz w:val="24"/>
        </w:rPr>
      </w:pPr>
      <w:r>
        <w:rPr>
          <w:rFonts w:hint="eastAsia"/>
          <w:sz w:val="24"/>
        </w:rPr>
        <w:t>20</w:t>
      </w:r>
      <w:r w:rsidR="0022191A">
        <w:rPr>
          <w:sz w:val="24"/>
        </w:rPr>
        <w:t>24</w:t>
      </w:r>
      <w:r>
        <w:rPr>
          <w:rFonts w:hint="eastAsia"/>
          <w:sz w:val="24"/>
        </w:rPr>
        <w:t>年</w:t>
      </w:r>
      <w:r w:rsidR="0022191A">
        <w:rPr>
          <w:sz w:val="24"/>
        </w:rPr>
        <w:t>12</w:t>
      </w:r>
      <w:r>
        <w:rPr>
          <w:rFonts w:hint="eastAsia"/>
          <w:sz w:val="24"/>
        </w:rPr>
        <w:t>月，</w:t>
      </w:r>
      <w:r w:rsidR="0022191A">
        <w:rPr>
          <w:rFonts w:hint="eastAsia"/>
          <w:sz w:val="24"/>
        </w:rPr>
        <w:t>编制组编制形成讨论稿</w:t>
      </w:r>
      <w:r>
        <w:rPr>
          <w:rFonts w:hint="eastAsia"/>
          <w:sz w:val="24"/>
        </w:rPr>
        <w:t>。</w:t>
      </w:r>
      <w:r w:rsidR="0022191A">
        <w:rPr>
          <w:rFonts w:hint="eastAsia"/>
          <w:sz w:val="24"/>
        </w:rPr>
        <w:t>1</w:t>
      </w:r>
      <w:r w:rsidR="0022191A">
        <w:rPr>
          <w:sz w:val="24"/>
        </w:rPr>
        <w:t>2</w:t>
      </w:r>
      <w:r w:rsidR="0022191A">
        <w:rPr>
          <w:rFonts w:hint="eastAsia"/>
          <w:sz w:val="24"/>
        </w:rPr>
        <w:t>月</w:t>
      </w:r>
      <w:r w:rsidR="0022191A">
        <w:rPr>
          <w:sz w:val="24"/>
        </w:rPr>
        <w:t>13</w:t>
      </w:r>
      <w:r w:rsidR="0022191A">
        <w:rPr>
          <w:rFonts w:hint="eastAsia"/>
          <w:sz w:val="24"/>
        </w:rPr>
        <w:t>日，编制组与核工业标准化研究所代表在线上召开讨论会，针对标准大纲和具体要素的编写提出了修改意见。编制</w:t>
      </w:r>
      <w:r>
        <w:rPr>
          <w:rFonts w:hint="eastAsia"/>
          <w:sz w:val="24"/>
        </w:rPr>
        <w:t>组根据会议意见对标准</w:t>
      </w:r>
      <w:r w:rsidR="0022191A">
        <w:rPr>
          <w:rFonts w:hint="eastAsia"/>
          <w:sz w:val="24"/>
        </w:rPr>
        <w:t>讨论稿</w:t>
      </w:r>
      <w:r>
        <w:rPr>
          <w:rFonts w:hint="eastAsia"/>
          <w:sz w:val="24"/>
        </w:rPr>
        <w:t>进行了修改和完善，在此基础上形成征求意见稿，于</w:t>
      </w:r>
      <w:r>
        <w:rPr>
          <w:rFonts w:ascii="Calibri" w:eastAsia="宋体" w:hAnsi="Calibri" w:cs="Times New Roman" w:hint="eastAsia"/>
          <w:sz w:val="24"/>
        </w:rPr>
        <w:t>20</w:t>
      </w:r>
      <w:r w:rsidR="0022191A">
        <w:rPr>
          <w:rFonts w:ascii="Calibri" w:eastAsia="宋体" w:hAnsi="Calibri" w:cs="Times New Roman"/>
          <w:sz w:val="24"/>
        </w:rPr>
        <w:t>25</w:t>
      </w:r>
      <w:r>
        <w:rPr>
          <w:rFonts w:hint="eastAsia"/>
          <w:sz w:val="24"/>
        </w:rPr>
        <w:t>年</w:t>
      </w:r>
      <w:r w:rsidR="0022191A">
        <w:rPr>
          <w:sz w:val="24"/>
        </w:rPr>
        <w:t>1</w:t>
      </w:r>
      <w:r w:rsidR="0022191A">
        <w:rPr>
          <w:rFonts w:hint="eastAsia"/>
          <w:sz w:val="24"/>
        </w:rPr>
        <w:t>月</w:t>
      </w:r>
      <w:r>
        <w:rPr>
          <w:rFonts w:hint="eastAsia"/>
          <w:sz w:val="24"/>
        </w:rPr>
        <w:t>将征求意见材料提交至核工业标准化研究所。</w:t>
      </w:r>
    </w:p>
    <w:p w14:paraId="6DDCA46C" w14:textId="77777777"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4.3送审稿编制</w:t>
      </w:r>
    </w:p>
    <w:p w14:paraId="449CC29D" w14:textId="77777777" w:rsidR="00F8183E" w:rsidRDefault="00E81374">
      <w:pPr>
        <w:spacing w:before="240" w:line="360" w:lineRule="auto"/>
        <w:rPr>
          <w:rFonts w:ascii="黑体" w:eastAsia="黑体" w:hAnsi="黑体"/>
          <w:noProof/>
          <w:kern w:val="0"/>
          <w:sz w:val="24"/>
        </w:rPr>
      </w:pPr>
      <w:r>
        <w:rPr>
          <w:rFonts w:ascii="黑体" w:eastAsia="黑体" w:hAnsi="黑体" w:hint="eastAsia"/>
          <w:noProof/>
          <w:kern w:val="0"/>
          <w:sz w:val="24"/>
        </w:rPr>
        <w:t>4</w:t>
      </w:r>
      <w:r>
        <w:rPr>
          <w:rFonts w:ascii="黑体" w:eastAsia="黑体" w:hAnsi="黑体"/>
          <w:noProof/>
          <w:kern w:val="0"/>
          <w:sz w:val="24"/>
        </w:rPr>
        <w:t>.</w:t>
      </w:r>
      <w:r>
        <w:rPr>
          <w:rFonts w:ascii="黑体" w:eastAsia="黑体" w:hAnsi="黑体" w:hint="eastAsia"/>
          <w:noProof/>
          <w:kern w:val="0"/>
          <w:sz w:val="24"/>
        </w:rPr>
        <w:t>4</w:t>
      </w:r>
      <w:r>
        <w:rPr>
          <w:rFonts w:ascii="黑体" w:eastAsia="黑体" w:hAnsi="黑体"/>
          <w:noProof/>
          <w:kern w:val="0"/>
          <w:sz w:val="24"/>
        </w:rPr>
        <w:t xml:space="preserve"> </w:t>
      </w:r>
      <w:r>
        <w:rPr>
          <w:rFonts w:ascii="黑体" w:eastAsia="黑体" w:hAnsi="黑体" w:hint="eastAsia"/>
          <w:noProof/>
          <w:kern w:val="0"/>
          <w:sz w:val="24"/>
        </w:rPr>
        <w:t>报批稿编制</w:t>
      </w:r>
    </w:p>
    <w:p w14:paraId="4CE2D2C8" w14:textId="77777777"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标准</w:t>
      </w:r>
      <w:r>
        <w:rPr>
          <w:rFonts w:ascii="黑体" w:eastAsia="黑体"/>
          <w:sz w:val="28"/>
          <w:szCs w:val="28"/>
        </w:rPr>
        <w:t>编制原则</w:t>
      </w:r>
      <w:r>
        <w:rPr>
          <w:rFonts w:ascii="黑体" w:eastAsia="黑体" w:hint="eastAsia"/>
          <w:sz w:val="28"/>
          <w:szCs w:val="28"/>
        </w:rPr>
        <w:t>和</w:t>
      </w:r>
      <w:r>
        <w:rPr>
          <w:rFonts w:ascii="黑体" w:eastAsia="黑体"/>
          <w:sz w:val="28"/>
          <w:szCs w:val="28"/>
        </w:rPr>
        <w:t>确定标准主要内容的依据</w:t>
      </w:r>
    </w:p>
    <w:p w14:paraId="34BD2304" w14:textId="77777777" w:rsidR="00F8183E" w:rsidRPr="005E4C4B" w:rsidRDefault="00E81374">
      <w:pPr>
        <w:pStyle w:val="a7"/>
        <w:numPr>
          <w:ilvl w:val="0"/>
          <w:numId w:val="14"/>
        </w:numPr>
        <w:spacing w:before="240" w:after="240" w:line="360" w:lineRule="auto"/>
        <w:ind w:firstLineChars="0"/>
        <w:rPr>
          <w:rFonts w:eastAsia="黑体"/>
          <w:sz w:val="28"/>
          <w:szCs w:val="28"/>
        </w:rPr>
      </w:pPr>
      <w:r>
        <w:rPr>
          <w:rFonts w:ascii="黑体" w:eastAsia="黑体" w:hAnsi="黑体" w:hint="eastAsia"/>
          <w:noProof/>
          <w:kern w:val="0"/>
          <w:sz w:val="24"/>
        </w:rPr>
        <w:t>标准编制</w:t>
      </w:r>
      <w:r>
        <w:rPr>
          <w:rFonts w:ascii="黑体" w:eastAsia="黑体" w:hAnsi="黑体"/>
          <w:noProof/>
          <w:kern w:val="0"/>
          <w:sz w:val="24"/>
        </w:rPr>
        <w:t>原则</w:t>
      </w:r>
    </w:p>
    <w:p w14:paraId="56F51A8E" w14:textId="77777777" w:rsidR="005E4C4B" w:rsidRPr="005E4C4B" w:rsidRDefault="005E4C4B" w:rsidP="005E4C4B">
      <w:pPr>
        <w:spacing w:line="360" w:lineRule="auto"/>
        <w:ind w:firstLineChars="200" w:firstLine="480"/>
        <w:rPr>
          <w:sz w:val="24"/>
        </w:rPr>
      </w:pPr>
      <w:r w:rsidRPr="005E4C4B">
        <w:rPr>
          <w:rFonts w:hint="eastAsia"/>
          <w:sz w:val="24"/>
        </w:rPr>
        <w:t>本标准编制严格遵照国家法律法规，并与现行相关标准协调一致，标准编写格式符合</w:t>
      </w:r>
      <w:r w:rsidRPr="005E4C4B">
        <w:rPr>
          <w:rFonts w:hint="eastAsia"/>
          <w:sz w:val="24"/>
        </w:rPr>
        <w:t>GB/T 1.1</w:t>
      </w:r>
      <w:r w:rsidRPr="005E4C4B">
        <w:rPr>
          <w:rFonts w:hint="eastAsia"/>
          <w:sz w:val="24"/>
        </w:rPr>
        <w:t>—</w:t>
      </w:r>
      <w:r w:rsidRPr="005E4C4B">
        <w:rPr>
          <w:rFonts w:hint="eastAsia"/>
          <w:sz w:val="24"/>
        </w:rPr>
        <w:t>2020</w:t>
      </w:r>
      <w:r w:rsidRPr="005E4C4B">
        <w:rPr>
          <w:rFonts w:hint="eastAsia"/>
          <w:sz w:val="24"/>
        </w:rPr>
        <w:t>《标准化工作导则</w:t>
      </w:r>
      <w:r w:rsidRPr="005E4C4B">
        <w:rPr>
          <w:rFonts w:hint="eastAsia"/>
          <w:sz w:val="24"/>
        </w:rPr>
        <w:t xml:space="preserve"> </w:t>
      </w:r>
      <w:r w:rsidRPr="005E4C4B">
        <w:rPr>
          <w:rFonts w:hint="eastAsia"/>
          <w:sz w:val="24"/>
        </w:rPr>
        <w:t>第</w:t>
      </w:r>
      <w:r w:rsidRPr="005E4C4B">
        <w:rPr>
          <w:rFonts w:hint="eastAsia"/>
          <w:sz w:val="24"/>
        </w:rPr>
        <w:t xml:space="preserve">1 </w:t>
      </w:r>
      <w:r w:rsidRPr="005E4C4B">
        <w:rPr>
          <w:rFonts w:hint="eastAsia"/>
          <w:sz w:val="24"/>
        </w:rPr>
        <w:t>部分：标准化文件的结构和起草规则》的要求，</w:t>
      </w:r>
      <w:r w:rsidR="00AC3892">
        <w:rPr>
          <w:rFonts w:hint="eastAsia"/>
          <w:sz w:val="24"/>
        </w:rPr>
        <w:t>要素编排符合</w:t>
      </w:r>
      <w:r w:rsidRPr="005E4C4B">
        <w:rPr>
          <w:rFonts w:hint="eastAsia"/>
          <w:sz w:val="24"/>
        </w:rPr>
        <w:t xml:space="preserve">GB/T </w:t>
      </w:r>
      <w:r w:rsidR="00AC3892">
        <w:rPr>
          <w:sz w:val="24"/>
        </w:rPr>
        <w:t>20001</w:t>
      </w:r>
      <w:r w:rsidRPr="005E4C4B">
        <w:rPr>
          <w:rFonts w:hint="eastAsia"/>
          <w:sz w:val="24"/>
        </w:rPr>
        <w:t>《</w:t>
      </w:r>
      <w:r w:rsidR="00AC3892">
        <w:rPr>
          <w:rFonts w:hint="eastAsia"/>
          <w:sz w:val="24"/>
        </w:rPr>
        <w:t>标准编写规则</w:t>
      </w:r>
      <w:r w:rsidRPr="005E4C4B">
        <w:rPr>
          <w:rFonts w:hint="eastAsia"/>
          <w:sz w:val="24"/>
        </w:rPr>
        <w:t>》</w:t>
      </w:r>
      <w:r w:rsidR="00AC3892">
        <w:rPr>
          <w:rFonts w:hint="eastAsia"/>
          <w:sz w:val="24"/>
        </w:rPr>
        <w:t>系列标准</w:t>
      </w:r>
      <w:r w:rsidRPr="005E4C4B">
        <w:rPr>
          <w:rFonts w:hint="eastAsia"/>
          <w:sz w:val="24"/>
        </w:rPr>
        <w:t>的要求。</w:t>
      </w:r>
    </w:p>
    <w:p w14:paraId="1408AC14" w14:textId="77777777" w:rsidR="00F8183E" w:rsidRDefault="00E81374">
      <w:pPr>
        <w:pStyle w:val="a7"/>
        <w:numPr>
          <w:ilvl w:val="0"/>
          <w:numId w:val="14"/>
        </w:numPr>
        <w:spacing w:before="240" w:after="240" w:line="360" w:lineRule="auto"/>
        <w:ind w:firstLineChars="0"/>
        <w:rPr>
          <w:rFonts w:ascii="黑体" w:eastAsia="黑体" w:hAnsi="黑体"/>
          <w:noProof/>
          <w:kern w:val="0"/>
          <w:sz w:val="24"/>
        </w:rPr>
      </w:pPr>
      <w:bookmarkStart w:id="4" w:name="_Toc361669937"/>
      <w:bookmarkEnd w:id="4"/>
      <w:r>
        <w:rPr>
          <w:rFonts w:ascii="黑体" w:eastAsia="黑体" w:hAnsi="黑体" w:hint="eastAsia"/>
          <w:noProof/>
          <w:kern w:val="0"/>
          <w:sz w:val="24"/>
        </w:rPr>
        <w:t>确定标准主要内容的依据</w:t>
      </w:r>
    </w:p>
    <w:p w14:paraId="58401A5D" w14:textId="77777777" w:rsidR="00A475C9" w:rsidRPr="00A475C9" w:rsidRDefault="00A475C9" w:rsidP="00A475C9">
      <w:pPr>
        <w:pStyle w:val="a7"/>
        <w:numPr>
          <w:ilvl w:val="1"/>
          <w:numId w:val="14"/>
        </w:numPr>
        <w:spacing w:before="240" w:after="240" w:line="360" w:lineRule="auto"/>
        <w:ind w:left="904" w:firstLineChars="0" w:hanging="484"/>
        <w:rPr>
          <w:rFonts w:ascii="黑体" w:eastAsia="黑体" w:hAnsi="黑体"/>
          <w:noProof/>
          <w:kern w:val="0"/>
          <w:sz w:val="24"/>
          <w:szCs w:val="24"/>
        </w:rPr>
      </w:pPr>
      <w:r w:rsidRPr="00A475C9">
        <w:rPr>
          <w:rFonts w:ascii="黑体" w:eastAsia="黑体" w:hAnsi="黑体" w:hint="eastAsia"/>
          <w:noProof/>
          <w:kern w:val="0"/>
          <w:sz w:val="24"/>
          <w:szCs w:val="24"/>
        </w:rPr>
        <w:t>材料对包壳高温拉-拉内压疲劳性能的影响</w:t>
      </w:r>
    </w:p>
    <w:p w14:paraId="2E405720" w14:textId="77777777" w:rsidR="00A475C9" w:rsidRPr="00A475C9" w:rsidRDefault="00A475C9" w:rsidP="00A475C9">
      <w:pPr>
        <w:spacing w:before="240" w:after="240" w:line="360" w:lineRule="auto"/>
        <w:ind w:left="420" w:firstLine="480"/>
        <w:rPr>
          <w:rFonts w:ascii="黑体" w:eastAsia="黑体" w:hAnsi="黑体"/>
          <w:noProof/>
          <w:kern w:val="0"/>
          <w:sz w:val="24"/>
          <w:szCs w:val="24"/>
        </w:rPr>
      </w:pPr>
      <w:r w:rsidRPr="00A475C9">
        <w:rPr>
          <w:rFonts w:ascii="黑体" w:eastAsia="黑体" w:hAnsi="黑体" w:hint="eastAsia"/>
          <w:noProof/>
          <w:kern w:val="0"/>
          <w:sz w:val="24"/>
          <w:szCs w:val="24"/>
        </w:rPr>
        <w:t>对应条款：“5 材料”</w:t>
      </w:r>
    </w:p>
    <w:p w14:paraId="755B2B55" w14:textId="77777777" w:rsidR="00A475C9" w:rsidRPr="00A475C9" w:rsidRDefault="00A475C9" w:rsidP="00A475C9">
      <w:pPr>
        <w:spacing w:before="240" w:after="240" w:line="360" w:lineRule="auto"/>
        <w:ind w:left="420" w:firstLine="480"/>
        <w:rPr>
          <w:rFonts w:ascii="黑体" w:eastAsia="黑体" w:hAnsi="黑体"/>
          <w:noProof/>
          <w:kern w:val="0"/>
          <w:sz w:val="24"/>
          <w:szCs w:val="24"/>
        </w:rPr>
      </w:pPr>
      <w:r w:rsidRPr="00A475C9">
        <w:rPr>
          <w:sz w:val="24"/>
          <w:szCs w:val="24"/>
        </w:rPr>
        <w:t>编制说明：</w:t>
      </w:r>
      <w:r w:rsidRPr="00A475C9">
        <w:rPr>
          <w:rFonts w:hint="eastAsia"/>
          <w:sz w:val="24"/>
          <w:szCs w:val="24"/>
        </w:rPr>
        <w:t>在实际服役工况中，裂变气体的不断释放会在包壳的环向施加应力，并且随着燃耗的增加，环向应力会越来越大，这个过程是一个流体内压导致环向疲劳的过程。因此，为了模拟工况中的裂变气体，推荐内压介质使用液体或惰性气体的流体种类。在实际试验中，液体介质多采用高温硅油，然而在高温试验下，硅油的粘度会受到高温的影响而发生粘度下降，从而影响载荷加载的响应及时性和有效性，因此在高温下推荐用惰性气体，保</w:t>
      </w:r>
      <w:r w:rsidRPr="00A475C9">
        <w:rPr>
          <w:rFonts w:hint="eastAsia"/>
          <w:sz w:val="24"/>
          <w:szCs w:val="24"/>
        </w:rPr>
        <w:lastRenderedPageBreak/>
        <w:t>证试验的正常开展。推荐采用硬密封的密封方式是因为在长时高温下的疲劳试验中，硬密封相比软密封具有更好的密封表现。</w:t>
      </w:r>
    </w:p>
    <w:p w14:paraId="459A4B5F" w14:textId="77777777" w:rsidR="00A475C9" w:rsidRPr="00A475C9" w:rsidRDefault="00A475C9" w:rsidP="00A475C9">
      <w:pPr>
        <w:pStyle w:val="a7"/>
        <w:numPr>
          <w:ilvl w:val="1"/>
          <w:numId w:val="14"/>
        </w:numPr>
        <w:spacing w:before="240" w:after="240" w:line="360" w:lineRule="auto"/>
        <w:ind w:left="904" w:firstLineChars="0" w:hanging="484"/>
        <w:rPr>
          <w:rFonts w:ascii="黑体" w:eastAsia="黑体" w:hAnsi="黑体"/>
          <w:noProof/>
          <w:kern w:val="0"/>
          <w:sz w:val="24"/>
          <w:szCs w:val="24"/>
        </w:rPr>
      </w:pPr>
      <w:r w:rsidRPr="00A475C9">
        <w:rPr>
          <w:rFonts w:ascii="黑体" w:eastAsia="黑体" w:hAnsi="黑体" w:hint="eastAsia"/>
          <w:noProof/>
          <w:kern w:val="0"/>
          <w:sz w:val="24"/>
          <w:szCs w:val="24"/>
        </w:rPr>
        <w:t>试验力对包壳高温拉-拉内压疲劳性能的影响</w:t>
      </w:r>
    </w:p>
    <w:p w14:paraId="4B4A6024" w14:textId="77777777" w:rsidR="00A475C9" w:rsidRPr="00A475C9" w:rsidRDefault="00A475C9" w:rsidP="00A475C9">
      <w:pPr>
        <w:pStyle w:val="a7"/>
        <w:spacing w:before="240" w:after="240" w:line="360" w:lineRule="auto"/>
        <w:ind w:left="420" w:firstLine="480"/>
        <w:rPr>
          <w:rFonts w:ascii="黑体" w:eastAsia="黑体" w:hAnsi="黑体"/>
          <w:noProof/>
          <w:kern w:val="0"/>
          <w:sz w:val="24"/>
          <w:szCs w:val="24"/>
        </w:rPr>
      </w:pPr>
      <w:r w:rsidRPr="00A475C9">
        <w:rPr>
          <w:rFonts w:ascii="黑体" w:eastAsia="黑体" w:hAnsi="黑体" w:hint="eastAsia"/>
          <w:noProof/>
          <w:kern w:val="0"/>
          <w:sz w:val="24"/>
          <w:szCs w:val="24"/>
        </w:rPr>
        <w:t>对应条款：“8.3 施加试验力”</w:t>
      </w:r>
    </w:p>
    <w:p w14:paraId="7F571CBE" w14:textId="77777777" w:rsidR="00A475C9" w:rsidRPr="00A475C9" w:rsidRDefault="00A475C9" w:rsidP="00A475C9">
      <w:pPr>
        <w:spacing w:before="240" w:after="240" w:line="360" w:lineRule="auto"/>
        <w:ind w:left="420" w:firstLine="480"/>
        <w:rPr>
          <w:sz w:val="24"/>
          <w:szCs w:val="24"/>
        </w:rPr>
      </w:pPr>
      <w:r w:rsidRPr="00A475C9">
        <w:rPr>
          <w:rFonts w:hint="eastAsia"/>
          <w:sz w:val="24"/>
          <w:szCs w:val="24"/>
        </w:rPr>
        <w:t>编制说明：</w:t>
      </w:r>
      <w:r w:rsidRPr="00A475C9">
        <w:rPr>
          <w:rFonts w:hint="eastAsia"/>
          <w:sz w:val="24"/>
          <w:szCs w:val="24"/>
        </w:rPr>
        <w:t xml:space="preserve"> </w:t>
      </w:r>
      <w:r w:rsidRPr="00A475C9">
        <w:rPr>
          <w:rFonts w:hint="eastAsia"/>
          <w:sz w:val="24"/>
          <w:szCs w:val="24"/>
        </w:rPr>
        <w:t>由于是包壳的内压疲劳，因此在试验中更多的是以包壳环向的形变作为参考指标，着重关注其环向的载荷状态。薄壁管在内压载荷下轴向和环向的实际受力推导过程如下：</w:t>
      </w:r>
    </w:p>
    <w:p w14:paraId="4BF692CB" w14:textId="77777777" w:rsidR="00A475C9" w:rsidRPr="00A475C9" w:rsidRDefault="00A475C9" w:rsidP="00A475C9">
      <w:pPr>
        <w:spacing w:before="240" w:after="240" w:line="360" w:lineRule="auto"/>
        <w:ind w:left="420" w:firstLine="480"/>
        <w:rPr>
          <w:sz w:val="24"/>
          <w:szCs w:val="24"/>
        </w:rPr>
      </w:pPr>
      <w:r w:rsidRPr="00A475C9">
        <w:rPr>
          <w:rFonts w:hint="eastAsia"/>
          <w:sz w:val="24"/>
          <w:szCs w:val="24"/>
        </w:rPr>
        <w:t>当薄壁圆筒仅受内压时，内压会在薄壁圆筒的环</w:t>
      </w:r>
      <w:proofErr w:type="gramStart"/>
      <w:r w:rsidRPr="00A475C9">
        <w:rPr>
          <w:rFonts w:hint="eastAsia"/>
          <w:sz w:val="24"/>
          <w:szCs w:val="24"/>
        </w:rPr>
        <w:t>向以及</w:t>
      </w:r>
      <w:proofErr w:type="gramEnd"/>
      <w:r w:rsidRPr="00A475C9">
        <w:rPr>
          <w:rFonts w:hint="eastAsia"/>
          <w:sz w:val="24"/>
          <w:szCs w:val="24"/>
        </w:rPr>
        <w:t>轴向产生作用力，如</w:t>
      </w:r>
      <w:r w:rsidRPr="00A475C9">
        <w:rPr>
          <w:sz w:val="24"/>
          <w:szCs w:val="24"/>
        </w:rPr>
        <w:t>图</w:t>
      </w:r>
      <w:r w:rsidRPr="00A475C9">
        <w:rPr>
          <w:rFonts w:hint="eastAsia"/>
          <w:sz w:val="24"/>
          <w:szCs w:val="24"/>
        </w:rPr>
        <w:t>1</w:t>
      </w:r>
      <w:r w:rsidRPr="00A475C9">
        <w:rPr>
          <w:rFonts w:hint="eastAsia"/>
          <w:sz w:val="24"/>
          <w:szCs w:val="24"/>
        </w:rPr>
        <w:t>所示。</w:t>
      </w:r>
    </w:p>
    <w:p w14:paraId="4D6A53A1" w14:textId="77777777" w:rsidR="00A475C9" w:rsidRPr="00A475C9" w:rsidRDefault="00A475C9" w:rsidP="00A475C9">
      <w:pPr>
        <w:pStyle w:val="af8"/>
        <w:rPr>
          <w:sz w:val="24"/>
          <w:szCs w:val="24"/>
        </w:rPr>
      </w:pPr>
      <w:r w:rsidRPr="00A475C9">
        <w:rPr>
          <w:noProof/>
          <w:sz w:val="24"/>
          <w:szCs w:val="24"/>
        </w:rPr>
        <w:drawing>
          <wp:inline distT="0" distB="0" distL="0" distR="0" wp14:anchorId="4A0F0E8C" wp14:editId="3EADF437">
            <wp:extent cx="4275786" cy="994772"/>
            <wp:effectExtent l="0" t="0" r="0" b="0"/>
            <wp:docPr id="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biLevel thresh="75000"/>
                    </a:blip>
                    <a:stretch>
                      <a:fillRect/>
                    </a:stretch>
                  </pic:blipFill>
                  <pic:spPr>
                    <a:xfrm>
                      <a:off x="0" y="0"/>
                      <a:ext cx="4297913" cy="999920"/>
                    </a:xfrm>
                    <a:prstGeom prst="rect">
                      <a:avLst/>
                    </a:prstGeom>
                  </pic:spPr>
                </pic:pic>
              </a:graphicData>
            </a:graphic>
          </wp:inline>
        </w:drawing>
      </w:r>
    </w:p>
    <w:p w14:paraId="0317382F" w14:textId="77777777" w:rsidR="00A475C9" w:rsidRPr="00A475C9" w:rsidRDefault="00A475C9" w:rsidP="00A475C9">
      <w:pPr>
        <w:pStyle w:val="11"/>
        <w:ind w:firstLine="480"/>
        <w:rPr>
          <w:sz w:val="24"/>
          <w:szCs w:val="24"/>
        </w:rPr>
      </w:pPr>
      <w:r w:rsidRPr="00A475C9">
        <w:rPr>
          <w:rFonts w:hint="eastAsia"/>
          <w:sz w:val="24"/>
          <w:szCs w:val="24"/>
        </w:rPr>
        <w:t>图</w:t>
      </w:r>
      <w:r w:rsidRPr="00A475C9">
        <w:rPr>
          <w:rFonts w:hint="eastAsia"/>
          <w:sz w:val="24"/>
          <w:szCs w:val="24"/>
        </w:rPr>
        <w:t xml:space="preserve">1 </w:t>
      </w:r>
      <w:r w:rsidRPr="00A475C9">
        <w:rPr>
          <w:rFonts w:hint="eastAsia"/>
          <w:sz w:val="24"/>
          <w:szCs w:val="24"/>
        </w:rPr>
        <w:t>内压对薄壁圆筒的作用</w:t>
      </w:r>
    </w:p>
    <w:p w14:paraId="2CD31DBF" w14:textId="77777777" w:rsidR="00A475C9" w:rsidRPr="00A475C9" w:rsidRDefault="00A475C9" w:rsidP="00A475C9">
      <w:pPr>
        <w:ind w:firstLine="480"/>
        <w:rPr>
          <w:sz w:val="24"/>
          <w:szCs w:val="24"/>
        </w:rPr>
      </w:pPr>
      <w:r w:rsidRPr="00A475C9">
        <w:rPr>
          <w:rFonts w:hint="eastAsia"/>
          <w:sz w:val="24"/>
          <w:szCs w:val="24"/>
        </w:rPr>
        <w:t>已知：</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2891"/>
        <w:gridCol w:w="2783"/>
      </w:tblGrid>
      <w:tr w:rsidR="00A475C9" w:rsidRPr="00A475C9" w14:paraId="319E32AB" w14:textId="77777777" w:rsidTr="0073403D">
        <w:tc>
          <w:tcPr>
            <w:tcW w:w="2944" w:type="dxa"/>
          </w:tcPr>
          <w:p w14:paraId="3A28E47B" w14:textId="77777777" w:rsidR="00A475C9" w:rsidRPr="00A475C9" w:rsidRDefault="00A475C9" w:rsidP="0073403D">
            <w:pPr>
              <w:pStyle w:val="afa"/>
              <w:ind w:firstLine="480"/>
              <w:jc w:val="center"/>
              <w:rPr>
                <w:szCs w:val="24"/>
              </w:rPr>
            </w:pPr>
          </w:p>
        </w:tc>
        <w:tc>
          <w:tcPr>
            <w:tcW w:w="2945" w:type="dxa"/>
          </w:tcPr>
          <w:p w14:paraId="4DD22716" w14:textId="77777777" w:rsidR="00A475C9" w:rsidRPr="00A475C9" w:rsidRDefault="00BC2517" w:rsidP="0073403D">
            <w:pPr>
              <w:pStyle w:val="afa"/>
              <w:ind w:firstLine="480"/>
              <w:jc w:val="center"/>
              <w:rPr>
                <w:szCs w:val="24"/>
              </w:rPr>
            </w:pPr>
            <m:oMathPara>
              <m:oMath>
                <m:sSub>
                  <m:sSubPr>
                    <m:ctrlPr>
                      <w:rPr>
                        <w:rFonts w:ascii="Cambria Math" w:hAnsi="Cambria Math"/>
                        <w:szCs w:val="24"/>
                      </w:rPr>
                    </m:ctrlPr>
                  </m:sSubPr>
                  <m:e>
                    <m:r>
                      <w:rPr>
                        <w:rFonts w:ascii="Cambria Math" w:hAnsi="Cambria Math"/>
                        <w:szCs w:val="24"/>
                      </w:rPr>
                      <m:t>σ</m:t>
                    </m:r>
                  </m:e>
                  <m:sub>
                    <m:r>
                      <w:rPr>
                        <w:rFonts w:ascii="Cambria Math" w:hAnsi="Cambria Math"/>
                        <w:szCs w:val="24"/>
                      </w:rPr>
                      <m:t>Z</m:t>
                    </m:r>
                  </m:sub>
                </m:sSub>
                <m:r>
                  <w:rPr>
                    <w:rFonts w:ascii="Cambria Math" w:hAnsi="Cambria Math"/>
                    <w:szCs w:val="24"/>
                  </w:rPr>
                  <m:t>π</m:t>
                </m:r>
                <m:sSub>
                  <m:sSubPr>
                    <m:ctrlPr>
                      <w:rPr>
                        <w:rFonts w:ascii="Cambria Math" w:hAnsi="Cambria Math"/>
                        <w:szCs w:val="24"/>
                      </w:rPr>
                    </m:ctrlPr>
                  </m:sSubPr>
                  <m:e>
                    <m:r>
                      <w:rPr>
                        <w:rFonts w:ascii="Cambria Math" w:hAnsi="Cambria Math"/>
                        <w:szCs w:val="24"/>
                      </w:rPr>
                      <m:t>D</m:t>
                    </m:r>
                  </m:e>
                  <m:sub>
                    <m:r>
                      <w:rPr>
                        <w:rFonts w:ascii="Cambria Math" w:hAnsi="Cambria Math" w:hint="eastAsia"/>
                        <w:szCs w:val="24"/>
                      </w:rPr>
                      <m:t>i</m:t>
                    </m:r>
                  </m:sub>
                </m:sSub>
                <m:r>
                  <m:rPr>
                    <m:sty m:val="p"/>
                  </m:rPr>
                  <w:rPr>
                    <w:rFonts w:ascii="Cambria Math" w:hAnsi="Cambria Math"/>
                    <w:szCs w:val="24"/>
                  </w:rPr>
                  <m:t>=</m:t>
                </m:r>
                <m:r>
                  <w:rPr>
                    <w:rFonts w:ascii="Cambria Math" w:hAnsi="Cambria Math"/>
                    <w:szCs w:val="24"/>
                  </w:rPr>
                  <m:t>Pπ</m:t>
                </m:r>
                <m:d>
                  <m:dPr>
                    <m:ctrlPr>
                      <w:rPr>
                        <w:rFonts w:ascii="Cambria Math" w:hAnsi="Cambria Math"/>
                        <w:szCs w:val="24"/>
                      </w:rPr>
                    </m:ctrlPr>
                  </m:dPr>
                  <m:e>
                    <m:f>
                      <m:fPr>
                        <m:ctrlPr>
                          <w:rPr>
                            <w:rFonts w:ascii="Cambria Math" w:hAnsi="Cambria Math"/>
                            <w:szCs w:val="24"/>
                          </w:rPr>
                        </m:ctrlPr>
                      </m:fPr>
                      <m:num>
                        <m:sSup>
                          <m:sSupPr>
                            <m:ctrlPr>
                              <w:rPr>
                                <w:rFonts w:ascii="Cambria Math" w:hAnsi="Cambria Math"/>
                                <w:szCs w:val="24"/>
                              </w:rPr>
                            </m:ctrlPr>
                          </m:sSupPr>
                          <m:e>
                            <m:sSub>
                              <m:sSubPr>
                                <m:ctrlPr>
                                  <w:rPr>
                                    <w:rFonts w:ascii="Cambria Math" w:hAnsi="Cambria Math"/>
                                    <w:szCs w:val="24"/>
                                  </w:rPr>
                                </m:ctrlPr>
                              </m:sSubPr>
                              <m:e>
                                <m:r>
                                  <w:rPr>
                                    <w:rFonts w:ascii="Cambria Math" w:hAnsi="Cambria Math"/>
                                    <w:szCs w:val="24"/>
                                  </w:rPr>
                                  <m:t>D</m:t>
                                </m:r>
                              </m:e>
                              <m:sub>
                                <m:r>
                                  <w:rPr>
                                    <w:rFonts w:ascii="Cambria Math" w:hAnsi="Cambria Math"/>
                                    <w:szCs w:val="24"/>
                                  </w:rPr>
                                  <m:t>i</m:t>
                                </m:r>
                              </m:sub>
                            </m:sSub>
                          </m:e>
                          <m:sup>
                            <m:r>
                              <m:rPr>
                                <m:sty m:val="p"/>
                              </m:rPr>
                              <w:rPr>
                                <w:rFonts w:ascii="Cambria Math" w:hAnsi="Cambria Math"/>
                                <w:szCs w:val="24"/>
                              </w:rPr>
                              <m:t>2</m:t>
                            </m:r>
                          </m:sup>
                        </m:sSup>
                      </m:num>
                      <m:den>
                        <m:r>
                          <m:rPr>
                            <m:sty m:val="p"/>
                          </m:rPr>
                          <w:rPr>
                            <w:rFonts w:ascii="Cambria Math" w:hAnsi="Cambria Math"/>
                            <w:szCs w:val="24"/>
                          </w:rPr>
                          <m:t>2</m:t>
                        </m:r>
                      </m:den>
                    </m:f>
                  </m:e>
                </m:d>
              </m:oMath>
            </m:oMathPara>
          </w:p>
        </w:tc>
        <w:tc>
          <w:tcPr>
            <w:tcW w:w="2866" w:type="dxa"/>
          </w:tcPr>
          <w:p w14:paraId="1232601F" w14:textId="77777777" w:rsidR="00A475C9" w:rsidRPr="00A475C9" w:rsidRDefault="00A475C9" w:rsidP="0073403D">
            <w:pPr>
              <w:pStyle w:val="afa"/>
              <w:ind w:firstLine="480"/>
              <w:jc w:val="right"/>
              <w:rPr>
                <w:szCs w:val="24"/>
              </w:rPr>
            </w:pPr>
            <w:r w:rsidRPr="00A475C9">
              <w:rPr>
                <w:rFonts w:hint="eastAsia"/>
                <w:szCs w:val="24"/>
              </w:rPr>
              <w:t>(1</w:t>
            </w:r>
            <w:r w:rsidRPr="00A475C9">
              <w:rPr>
                <w:szCs w:val="24"/>
              </w:rPr>
              <w:t>)</w:t>
            </w:r>
          </w:p>
        </w:tc>
      </w:tr>
      <w:tr w:rsidR="00A475C9" w:rsidRPr="00A475C9" w14:paraId="6090871C" w14:textId="77777777" w:rsidTr="0073403D">
        <w:tc>
          <w:tcPr>
            <w:tcW w:w="2944" w:type="dxa"/>
          </w:tcPr>
          <w:p w14:paraId="1D0AA6CF" w14:textId="77777777" w:rsidR="00A475C9" w:rsidRPr="00A475C9" w:rsidRDefault="00A475C9" w:rsidP="0073403D">
            <w:pPr>
              <w:pStyle w:val="afa"/>
              <w:ind w:firstLine="480"/>
              <w:jc w:val="center"/>
              <w:rPr>
                <w:szCs w:val="24"/>
              </w:rPr>
            </w:pPr>
          </w:p>
        </w:tc>
        <w:tc>
          <w:tcPr>
            <w:tcW w:w="2945" w:type="dxa"/>
          </w:tcPr>
          <w:p w14:paraId="3CAE2120" w14:textId="77777777" w:rsidR="00A475C9" w:rsidRPr="00A475C9" w:rsidRDefault="00BC2517" w:rsidP="0073403D">
            <w:pPr>
              <w:pStyle w:val="afa"/>
              <w:ind w:firstLine="480"/>
              <w:jc w:val="center"/>
              <w:rPr>
                <w:szCs w:val="24"/>
              </w:rPr>
            </w:pPr>
            <m:oMathPara>
              <m:oMath>
                <m:sSub>
                  <m:sSubPr>
                    <m:ctrlPr>
                      <w:rPr>
                        <w:rFonts w:ascii="Cambria Math" w:hAnsi="Cambria Math"/>
                        <w:szCs w:val="24"/>
                      </w:rPr>
                    </m:ctrlPr>
                  </m:sSubPr>
                  <m:e>
                    <m:r>
                      <w:rPr>
                        <w:rFonts w:ascii="Cambria Math" w:hAnsi="Cambria Math"/>
                        <w:szCs w:val="24"/>
                      </w:rPr>
                      <m:t>σ</m:t>
                    </m:r>
                  </m:e>
                  <m:sub>
                    <m:r>
                      <w:rPr>
                        <w:rFonts w:ascii="Cambria Math" w:hAnsi="Cambria Math"/>
                        <w:szCs w:val="24"/>
                      </w:rPr>
                      <m:t>θ</m:t>
                    </m:r>
                  </m:sub>
                </m:sSub>
                <m:r>
                  <m:rPr>
                    <m:sty m:val="p"/>
                  </m:rPr>
                  <w:rPr>
                    <w:rFonts w:ascii="Cambria Math" w:hAnsi="Cambria Math"/>
                    <w:szCs w:val="24"/>
                  </w:rPr>
                  <m:t>2</m:t>
                </m:r>
                <m:r>
                  <w:rPr>
                    <w:rFonts w:ascii="Cambria Math" w:hAnsi="Cambria Math"/>
                    <w:szCs w:val="24"/>
                  </w:rPr>
                  <m:t>lt</m:t>
                </m:r>
                <m:r>
                  <m:rPr>
                    <m:sty m:val="p"/>
                  </m:rPr>
                  <w:rPr>
                    <w:rFonts w:ascii="Cambria Math" w:hAnsi="Cambria Math"/>
                    <w:szCs w:val="24"/>
                  </w:rPr>
                  <m:t>=</m:t>
                </m:r>
                <m:r>
                  <w:rPr>
                    <w:rFonts w:ascii="Cambria Math" w:hAnsi="Cambria Math"/>
                    <w:szCs w:val="24"/>
                  </w:rPr>
                  <m:t>P</m:t>
                </m:r>
                <m:acc>
                  <m:accPr>
                    <m:chr m:val="̃"/>
                    <m:ctrlPr>
                      <w:rPr>
                        <w:rFonts w:ascii="Cambria Math" w:hAnsi="Cambria Math"/>
                        <w:szCs w:val="24"/>
                      </w:rPr>
                    </m:ctrlPr>
                  </m:accPr>
                  <m:e>
                    <m:r>
                      <w:rPr>
                        <w:rFonts w:ascii="Cambria Math" w:hAnsi="Cambria Math"/>
                        <w:szCs w:val="24"/>
                      </w:rPr>
                      <m:t>D</m:t>
                    </m:r>
                  </m:e>
                </m:acc>
                <m:r>
                  <w:rPr>
                    <w:rFonts w:ascii="Cambria Math" w:hAnsi="Cambria Math"/>
                    <w:szCs w:val="24"/>
                  </w:rPr>
                  <m:t>l</m:t>
                </m:r>
              </m:oMath>
            </m:oMathPara>
          </w:p>
        </w:tc>
        <w:tc>
          <w:tcPr>
            <w:tcW w:w="2866" w:type="dxa"/>
          </w:tcPr>
          <w:p w14:paraId="7F399EDD" w14:textId="77777777" w:rsidR="00A475C9" w:rsidRPr="00A475C9" w:rsidRDefault="00A475C9" w:rsidP="0073403D">
            <w:pPr>
              <w:pStyle w:val="afa"/>
              <w:ind w:firstLine="480"/>
              <w:jc w:val="right"/>
              <w:rPr>
                <w:szCs w:val="24"/>
              </w:rPr>
            </w:pPr>
            <w:r w:rsidRPr="00A475C9">
              <w:rPr>
                <w:rFonts w:hint="eastAsia"/>
                <w:szCs w:val="24"/>
              </w:rPr>
              <w:t>(2</w:t>
            </w:r>
            <w:r w:rsidRPr="00A475C9">
              <w:rPr>
                <w:szCs w:val="24"/>
              </w:rPr>
              <w:t>)</w:t>
            </w:r>
          </w:p>
        </w:tc>
      </w:tr>
    </w:tbl>
    <w:p w14:paraId="239C1CB5" w14:textId="77777777" w:rsidR="00A475C9" w:rsidRPr="00A475C9" w:rsidRDefault="00A475C9" w:rsidP="00A475C9">
      <w:pPr>
        <w:ind w:firstLine="480"/>
        <w:rPr>
          <w:sz w:val="24"/>
          <w:szCs w:val="24"/>
        </w:rPr>
      </w:pPr>
      <w:r w:rsidRPr="00A475C9">
        <w:rPr>
          <w:rFonts w:hint="eastAsia"/>
          <w:sz w:val="24"/>
          <w:szCs w:val="24"/>
        </w:rPr>
        <w:t>又因为薄壁圆筒</w:t>
      </w:r>
      <m:oMath>
        <m:acc>
          <m:accPr>
            <m:chr m:val="̃"/>
            <m:ctrlPr>
              <w:rPr>
                <w:rFonts w:ascii="Cambria Math" w:hAnsi="Cambria Math"/>
                <w:i/>
                <w:iCs/>
                <w:sz w:val="24"/>
                <w:szCs w:val="24"/>
              </w:rPr>
            </m:ctrlPr>
          </m:accPr>
          <m:e>
            <m:r>
              <w:rPr>
                <w:rFonts w:ascii="Cambria Math" w:hAnsi="Cambria Math"/>
                <w:sz w:val="24"/>
                <w:szCs w:val="24"/>
              </w:rPr>
              <m:t>D</m:t>
            </m:r>
          </m:e>
        </m:acc>
        <m:r>
          <w:rPr>
            <w:rFonts w:ascii="Cambria Math" w:hAnsi="Cambria Math" w:hint="eastAsia"/>
            <w:sz w:val="24"/>
            <w:szCs w:val="24"/>
          </w:rPr>
          <m:t>≈</m:t>
        </m:r>
        <m:sSub>
          <m:sSubPr>
            <m:ctrlPr>
              <w:rPr>
                <w:rFonts w:ascii="Cambria Math" w:hAnsi="Cambria Math"/>
                <w:i/>
                <w:iCs/>
                <w:sz w:val="24"/>
                <w:szCs w:val="24"/>
              </w:rPr>
            </m:ctrlPr>
          </m:sSubPr>
          <m:e>
            <m:r>
              <w:rPr>
                <w:rFonts w:ascii="Cambria Math" w:hAnsi="Cambria Math"/>
                <w:sz w:val="24"/>
                <w:szCs w:val="24"/>
              </w:rPr>
              <m:t>D</m:t>
            </m:r>
          </m:e>
          <m:sub>
            <m:r>
              <w:rPr>
                <w:rFonts w:ascii="Cambria Math" w:hAnsi="Cambria Math"/>
                <w:sz w:val="24"/>
                <w:szCs w:val="24"/>
              </w:rPr>
              <m:t>i</m:t>
            </m:r>
          </m:sub>
        </m:sSub>
      </m:oMath>
      <w:r w:rsidRPr="00A475C9">
        <w:rPr>
          <w:rFonts w:hint="eastAsia"/>
          <w:iCs/>
          <w:sz w:val="24"/>
          <w:szCs w:val="24"/>
        </w:rPr>
        <w:t>，</w:t>
      </w:r>
      <w:r w:rsidRPr="00A475C9">
        <w:rPr>
          <w:rFonts w:hint="eastAsia"/>
          <w:sz w:val="24"/>
          <w:szCs w:val="24"/>
        </w:rPr>
        <w:t>通过化简可得：</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2891"/>
        <w:gridCol w:w="2783"/>
      </w:tblGrid>
      <w:tr w:rsidR="00A475C9" w:rsidRPr="00A475C9" w14:paraId="21A53D31" w14:textId="77777777" w:rsidTr="0073403D">
        <w:tc>
          <w:tcPr>
            <w:tcW w:w="2848" w:type="dxa"/>
          </w:tcPr>
          <w:p w14:paraId="370615EF" w14:textId="77777777" w:rsidR="00A475C9" w:rsidRPr="00A475C9" w:rsidRDefault="00A475C9" w:rsidP="0073403D">
            <w:pPr>
              <w:pStyle w:val="afa"/>
              <w:ind w:firstLine="480"/>
              <w:jc w:val="center"/>
              <w:rPr>
                <w:szCs w:val="24"/>
              </w:rPr>
            </w:pPr>
          </w:p>
        </w:tc>
        <w:tc>
          <w:tcPr>
            <w:tcW w:w="2891" w:type="dxa"/>
          </w:tcPr>
          <w:p w14:paraId="7F8444EB" w14:textId="77777777" w:rsidR="00A475C9" w:rsidRPr="00A475C9" w:rsidRDefault="00BC2517" w:rsidP="0073403D">
            <w:pPr>
              <w:pStyle w:val="afa"/>
              <w:ind w:firstLine="480"/>
              <w:jc w:val="center"/>
              <w:rPr>
                <w:szCs w:val="24"/>
              </w:rPr>
            </w:pPr>
            <m:oMathPara>
              <m:oMath>
                <m:sSub>
                  <m:sSubPr>
                    <m:ctrlPr>
                      <w:rPr>
                        <w:rFonts w:ascii="Cambria Math" w:hAnsi="Cambria Math"/>
                        <w:szCs w:val="24"/>
                      </w:rPr>
                    </m:ctrlPr>
                  </m:sSubPr>
                  <m:e>
                    <m:r>
                      <w:rPr>
                        <w:rFonts w:ascii="Cambria Math" w:hAnsi="Cambria Math"/>
                        <w:szCs w:val="24"/>
                      </w:rPr>
                      <m:t>σ</m:t>
                    </m:r>
                  </m:e>
                  <m:sub>
                    <m:r>
                      <w:rPr>
                        <w:rFonts w:ascii="Cambria Math" w:hAnsi="Cambria Math"/>
                        <w:szCs w:val="24"/>
                      </w:rPr>
                      <m:t>Z</m:t>
                    </m:r>
                  </m:sub>
                </m:sSub>
                <m:r>
                  <w:rPr>
                    <w:rFonts w:ascii="Cambria Math" w:hAnsi="Cambria Math" w:hint="eastAsia"/>
                    <w:szCs w:val="24"/>
                  </w:rPr>
                  <m:t>≈</m:t>
                </m:r>
                <m:f>
                  <m:fPr>
                    <m:ctrlPr>
                      <w:rPr>
                        <w:rFonts w:ascii="Cambria Math" w:hAnsi="Cambria Math"/>
                        <w:i/>
                        <w:szCs w:val="24"/>
                      </w:rPr>
                    </m:ctrlPr>
                  </m:fPr>
                  <m:num>
                    <m:sSub>
                      <m:sSubPr>
                        <m:ctrlPr>
                          <w:rPr>
                            <w:rFonts w:ascii="Cambria Math" w:hAnsi="Cambria Math"/>
                            <w:szCs w:val="24"/>
                          </w:rPr>
                        </m:ctrlPr>
                      </m:sSubPr>
                      <m:e>
                        <m:r>
                          <w:rPr>
                            <w:rFonts w:ascii="Cambria Math" w:hAnsi="Cambria Math"/>
                            <w:szCs w:val="24"/>
                          </w:rPr>
                          <m:t>σ</m:t>
                        </m:r>
                      </m:e>
                      <m:sub>
                        <m:r>
                          <w:rPr>
                            <w:rFonts w:ascii="Cambria Math" w:hAnsi="Cambria Math"/>
                            <w:szCs w:val="24"/>
                          </w:rPr>
                          <m:t>θ</m:t>
                        </m:r>
                      </m:sub>
                    </m:sSub>
                  </m:num>
                  <m:den>
                    <m:r>
                      <w:rPr>
                        <w:rFonts w:ascii="Cambria Math" w:hAnsi="Cambria Math"/>
                        <w:szCs w:val="24"/>
                      </w:rPr>
                      <m:t>2</m:t>
                    </m:r>
                  </m:den>
                </m:f>
              </m:oMath>
            </m:oMathPara>
          </w:p>
        </w:tc>
        <w:tc>
          <w:tcPr>
            <w:tcW w:w="2783" w:type="dxa"/>
          </w:tcPr>
          <w:p w14:paraId="1054D612" w14:textId="77777777" w:rsidR="00A475C9" w:rsidRPr="00A475C9" w:rsidRDefault="00A475C9" w:rsidP="0073403D">
            <w:pPr>
              <w:pStyle w:val="afa"/>
              <w:ind w:firstLine="480"/>
              <w:jc w:val="right"/>
              <w:rPr>
                <w:szCs w:val="24"/>
              </w:rPr>
            </w:pPr>
            <w:r w:rsidRPr="00A475C9">
              <w:rPr>
                <w:rFonts w:hint="eastAsia"/>
                <w:szCs w:val="24"/>
              </w:rPr>
              <w:t>(3</w:t>
            </w:r>
            <w:r w:rsidRPr="00A475C9">
              <w:rPr>
                <w:szCs w:val="24"/>
              </w:rPr>
              <w:t>)</w:t>
            </w:r>
          </w:p>
        </w:tc>
      </w:tr>
    </w:tbl>
    <w:p w14:paraId="5B2953AC" w14:textId="77777777" w:rsidR="00A475C9" w:rsidRPr="00A475C9" w:rsidRDefault="00A475C9" w:rsidP="00A475C9">
      <w:pPr>
        <w:spacing w:before="240" w:after="240" w:line="360" w:lineRule="auto"/>
        <w:ind w:left="420" w:firstLine="480"/>
        <w:rPr>
          <w:sz w:val="24"/>
          <w:szCs w:val="24"/>
        </w:rPr>
      </w:pPr>
      <w:r w:rsidRPr="00A475C9">
        <w:rPr>
          <w:rFonts w:hint="eastAsia"/>
          <w:sz w:val="24"/>
          <w:szCs w:val="24"/>
        </w:rPr>
        <w:t>因此，可知当薄壁圆筒仅受内压时，内压产生的轴向作用力为环向作用力的二分之一。于是，当薄壁管材试样同时受到轴向力与内压作用时，实验的</w:t>
      </w:r>
      <w:proofErr w:type="gramStart"/>
      <w:r w:rsidRPr="00A475C9">
        <w:rPr>
          <w:rFonts w:hint="eastAsia"/>
          <w:sz w:val="24"/>
          <w:szCs w:val="24"/>
        </w:rPr>
        <w:t>加载力通过</w:t>
      </w:r>
      <w:proofErr w:type="gramEnd"/>
      <w:r w:rsidRPr="00A475C9">
        <w:rPr>
          <w:rFonts w:hint="eastAsia"/>
          <w:sz w:val="24"/>
          <w:szCs w:val="24"/>
        </w:rPr>
        <w:t>以下公式进行计算：</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2898"/>
        <w:gridCol w:w="2780"/>
      </w:tblGrid>
      <w:tr w:rsidR="00A475C9" w:rsidRPr="00A475C9" w14:paraId="4EA10D45" w14:textId="77777777" w:rsidTr="0073403D">
        <w:tc>
          <w:tcPr>
            <w:tcW w:w="2944" w:type="dxa"/>
          </w:tcPr>
          <w:p w14:paraId="5B7BC347" w14:textId="77777777" w:rsidR="00A475C9" w:rsidRPr="00A475C9" w:rsidRDefault="00A475C9" w:rsidP="0073403D">
            <w:pPr>
              <w:pStyle w:val="afa"/>
              <w:ind w:firstLine="480"/>
              <w:jc w:val="center"/>
              <w:rPr>
                <w:szCs w:val="24"/>
              </w:rPr>
            </w:pPr>
          </w:p>
        </w:tc>
        <w:tc>
          <w:tcPr>
            <w:tcW w:w="2945" w:type="dxa"/>
          </w:tcPr>
          <w:p w14:paraId="35FF53CF" w14:textId="77777777" w:rsidR="00A475C9" w:rsidRPr="00A475C9" w:rsidRDefault="00BC2517" w:rsidP="0073403D">
            <w:pPr>
              <w:pStyle w:val="afa"/>
              <w:ind w:firstLine="480"/>
              <w:jc w:val="center"/>
              <w:rPr>
                <w:szCs w:val="24"/>
              </w:rPr>
            </w:pPr>
            <m:oMathPara>
              <m:oMath>
                <m:sSub>
                  <m:sSubPr>
                    <m:ctrlPr>
                      <w:rPr>
                        <w:rFonts w:ascii="Cambria Math" w:hAnsi="Cambria Math"/>
                        <w:szCs w:val="24"/>
                      </w:rPr>
                    </m:ctrlPr>
                  </m:sSubPr>
                  <m:e>
                    <m:r>
                      <w:rPr>
                        <w:rFonts w:ascii="Cambria Math" w:hAnsi="Cambria Math"/>
                        <w:szCs w:val="24"/>
                      </w:rPr>
                      <m:t>σ</m:t>
                    </m:r>
                  </m:e>
                  <m:sub>
                    <m:r>
                      <w:rPr>
                        <w:rFonts w:ascii="Cambria Math" w:hAnsi="Cambria Math"/>
                        <w:szCs w:val="24"/>
                      </w:rPr>
                      <m:t>θ</m:t>
                    </m:r>
                  </m:sub>
                </m:sSub>
                <m:r>
                  <m:rPr>
                    <m:sty m:val="p"/>
                  </m:rPr>
                  <w:rPr>
                    <w:rFonts w:ascii="Cambria Math" w:hAnsi="Cambria Math"/>
                    <w:szCs w:val="24"/>
                  </w:rPr>
                  <m:t>=</m:t>
                </m:r>
                <m:f>
                  <m:fPr>
                    <m:ctrlPr>
                      <w:rPr>
                        <w:rFonts w:ascii="Cambria Math" w:hAnsi="Cambria Math"/>
                        <w:szCs w:val="24"/>
                      </w:rPr>
                    </m:ctrlPr>
                  </m:fPr>
                  <m:num>
                    <m:r>
                      <w:rPr>
                        <w:rFonts w:ascii="Cambria Math" w:hAnsi="Cambria Math"/>
                        <w:szCs w:val="24"/>
                      </w:rPr>
                      <m:t>P</m:t>
                    </m:r>
                    <m:acc>
                      <m:accPr>
                        <m:chr m:val="̃"/>
                        <m:ctrlPr>
                          <w:rPr>
                            <w:rFonts w:ascii="Cambria Math" w:hAnsi="Cambria Math"/>
                            <w:i/>
                            <w:iCs/>
                            <w:szCs w:val="24"/>
                          </w:rPr>
                        </m:ctrlPr>
                      </m:accPr>
                      <m:e>
                        <m:r>
                          <w:rPr>
                            <w:rFonts w:ascii="Cambria Math" w:hAnsi="Cambria Math"/>
                            <w:szCs w:val="24"/>
                          </w:rPr>
                          <m:t>D</m:t>
                        </m:r>
                      </m:e>
                    </m:acc>
                  </m:num>
                  <m:den>
                    <m:r>
                      <m:rPr>
                        <m:sty m:val="p"/>
                      </m:rPr>
                      <w:rPr>
                        <w:rFonts w:ascii="Cambria Math" w:hAnsi="Cambria Math"/>
                        <w:szCs w:val="24"/>
                      </w:rPr>
                      <m:t>2</m:t>
                    </m:r>
                    <m:r>
                      <w:rPr>
                        <w:rFonts w:ascii="Cambria Math" w:hAnsi="Cambria Math" w:hint="eastAsia"/>
                        <w:szCs w:val="24"/>
                      </w:rPr>
                      <m:t>t</m:t>
                    </m:r>
                  </m:den>
                </m:f>
                <m:r>
                  <m:rPr>
                    <m:sty m:val="p"/>
                  </m:rPr>
                  <w:rPr>
                    <w:rFonts w:ascii="Cambria Math" w:hAnsi="Cambria Math"/>
                    <w:szCs w:val="24"/>
                  </w:rPr>
                  <m:t>=</m:t>
                </m:r>
                <m:f>
                  <m:fPr>
                    <m:ctrlPr>
                      <w:rPr>
                        <w:rFonts w:ascii="Cambria Math" w:hAnsi="Cambria Math"/>
                        <w:szCs w:val="24"/>
                      </w:rPr>
                    </m:ctrlPr>
                  </m:fPr>
                  <m:num>
                    <m:r>
                      <w:rPr>
                        <w:rFonts w:ascii="Cambria Math" w:hAnsi="Cambria Math"/>
                        <w:szCs w:val="24"/>
                      </w:rPr>
                      <m:t>P</m:t>
                    </m:r>
                    <m:d>
                      <m:dPr>
                        <m:ctrlPr>
                          <w:rPr>
                            <w:rFonts w:ascii="Cambria Math" w:hAnsi="Cambria Math"/>
                            <w:szCs w:val="24"/>
                          </w:rPr>
                        </m:ctrlPr>
                      </m:dPr>
                      <m:e>
                        <m:sSub>
                          <m:sSubPr>
                            <m:ctrlPr>
                              <w:rPr>
                                <w:rFonts w:ascii="Cambria Math" w:hAnsi="Cambria Math"/>
                                <w:szCs w:val="24"/>
                              </w:rPr>
                            </m:ctrlPr>
                          </m:sSubPr>
                          <m:e>
                            <m:r>
                              <w:rPr>
                                <w:rFonts w:ascii="Cambria Math" w:hAnsi="Cambria Math"/>
                                <w:szCs w:val="24"/>
                              </w:rPr>
                              <m:t>D</m:t>
                            </m:r>
                          </m:e>
                          <m:sub>
                            <m:r>
                              <m:rPr>
                                <m:sty m:val="p"/>
                              </m:rPr>
                              <w:rPr>
                                <w:rFonts w:ascii="Cambria Math" w:hAnsi="Cambria Math" w:hint="eastAsia"/>
                                <w:szCs w:val="24"/>
                              </w:rPr>
                              <m:t>o</m:t>
                            </m:r>
                          </m:sub>
                        </m:sSub>
                        <m:r>
                          <m:rPr>
                            <m:sty m:val="p"/>
                          </m:rPr>
                          <w:rPr>
                            <w:rFonts w:ascii="Cambria Math" w:hAnsi="Cambria Math"/>
                            <w:szCs w:val="24"/>
                          </w:rPr>
                          <m:t>-</m:t>
                        </m:r>
                        <m:r>
                          <w:rPr>
                            <w:rFonts w:ascii="Cambria Math" w:hAnsi="Cambria Math" w:hint="eastAsia"/>
                            <w:szCs w:val="24"/>
                          </w:rPr>
                          <m:t>t</m:t>
                        </m:r>
                      </m:e>
                    </m:d>
                  </m:num>
                  <m:den>
                    <m:r>
                      <m:rPr>
                        <m:sty m:val="p"/>
                      </m:rPr>
                      <w:rPr>
                        <w:rFonts w:ascii="Cambria Math" w:hAnsi="Cambria Math"/>
                        <w:szCs w:val="24"/>
                      </w:rPr>
                      <m:t>2</m:t>
                    </m:r>
                    <m:r>
                      <w:rPr>
                        <w:rFonts w:ascii="Cambria Math" w:hAnsi="Cambria Math" w:hint="eastAsia"/>
                        <w:szCs w:val="24"/>
                      </w:rPr>
                      <m:t>t</m:t>
                    </m:r>
                  </m:den>
                </m:f>
              </m:oMath>
            </m:oMathPara>
          </w:p>
        </w:tc>
        <w:tc>
          <w:tcPr>
            <w:tcW w:w="2866" w:type="dxa"/>
            <w:vAlign w:val="center"/>
          </w:tcPr>
          <w:p w14:paraId="1F3EFDF3" w14:textId="77777777" w:rsidR="00A475C9" w:rsidRPr="00A475C9" w:rsidRDefault="00A475C9" w:rsidP="0073403D">
            <w:pPr>
              <w:pStyle w:val="afa"/>
              <w:ind w:firstLine="480"/>
              <w:jc w:val="right"/>
              <w:rPr>
                <w:szCs w:val="24"/>
              </w:rPr>
            </w:pPr>
            <w:r w:rsidRPr="00A475C9">
              <w:rPr>
                <w:rFonts w:hint="eastAsia"/>
                <w:szCs w:val="24"/>
              </w:rPr>
              <w:t>(4</w:t>
            </w:r>
            <w:r w:rsidRPr="00A475C9">
              <w:rPr>
                <w:szCs w:val="24"/>
              </w:rPr>
              <w:t>)</w:t>
            </w:r>
          </w:p>
        </w:tc>
      </w:tr>
      <w:tr w:rsidR="00A475C9" w:rsidRPr="00A475C9" w14:paraId="2CCBAA5E" w14:textId="77777777" w:rsidTr="0073403D">
        <w:tc>
          <w:tcPr>
            <w:tcW w:w="2944" w:type="dxa"/>
          </w:tcPr>
          <w:p w14:paraId="13870089" w14:textId="77777777" w:rsidR="00A475C9" w:rsidRPr="00A475C9" w:rsidRDefault="00A475C9" w:rsidP="0073403D">
            <w:pPr>
              <w:pStyle w:val="afa"/>
              <w:ind w:firstLine="480"/>
              <w:jc w:val="center"/>
              <w:rPr>
                <w:szCs w:val="24"/>
              </w:rPr>
            </w:pPr>
          </w:p>
        </w:tc>
        <w:tc>
          <w:tcPr>
            <w:tcW w:w="2945" w:type="dxa"/>
          </w:tcPr>
          <w:p w14:paraId="3D2C53E6" w14:textId="77777777" w:rsidR="00A475C9" w:rsidRPr="00A475C9" w:rsidRDefault="00BC2517" w:rsidP="0073403D">
            <w:pPr>
              <w:pStyle w:val="afa"/>
              <w:ind w:firstLine="480"/>
              <w:jc w:val="center"/>
              <w:rPr>
                <w:szCs w:val="24"/>
              </w:rPr>
            </w:pPr>
            <m:oMathPara>
              <m:oMath>
                <m:sSub>
                  <m:sSubPr>
                    <m:ctrlPr>
                      <w:rPr>
                        <w:rFonts w:ascii="Cambria Math" w:hAnsi="Cambria Math"/>
                        <w:szCs w:val="24"/>
                      </w:rPr>
                    </m:ctrlPr>
                  </m:sSubPr>
                  <m:e>
                    <m:r>
                      <w:rPr>
                        <w:rFonts w:ascii="Cambria Math" w:hAnsi="Cambria Math"/>
                        <w:szCs w:val="24"/>
                      </w:rPr>
                      <m:t>σ</m:t>
                    </m:r>
                  </m:e>
                  <m:sub>
                    <m:r>
                      <w:rPr>
                        <w:rFonts w:ascii="Cambria Math" w:hAnsi="Cambria Math"/>
                        <w:szCs w:val="24"/>
                      </w:rPr>
                      <m:t>Z</m:t>
                    </m:r>
                  </m:sub>
                </m:sSub>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σ</m:t>
                        </m:r>
                      </m:e>
                      <m:sub>
                        <m:r>
                          <w:rPr>
                            <w:rFonts w:ascii="Cambria Math" w:hAnsi="Cambria Math"/>
                            <w:szCs w:val="24"/>
                          </w:rPr>
                          <m:t>θ</m:t>
                        </m:r>
                      </m:sub>
                    </m:sSub>
                  </m:num>
                  <m:den>
                    <m:r>
                      <m:rPr>
                        <m:sty m:val="p"/>
                      </m:rPr>
                      <w:rPr>
                        <w:rFonts w:ascii="Cambria Math" w:hAnsi="Cambria Math"/>
                        <w:szCs w:val="24"/>
                      </w:rPr>
                      <m:t>2</m:t>
                    </m:r>
                  </m:den>
                </m:f>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4</m:t>
                    </m:r>
                    <m:r>
                      <w:rPr>
                        <w:rFonts w:ascii="Cambria Math" w:hAnsi="Cambria Math"/>
                        <w:szCs w:val="24"/>
                      </w:rPr>
                      <m:t>W</m:t>
                    </m:r>
                  </m:num>
                  <m:den>
                    <m:r>
                      <w:rPr>
                        <w:rFonts w:ascii="Cambria Math" w:hAnsi="Cambria Math"/>
                        <w:szCs w:val="24"/>
                      </w:rPr>
                      <m:t>π</m:t>
                    </m:r>
                    <m:d>
                      <m:dPr>
                        <m:ctrlPr>
                          <w:rPr>
                            <w:rFonts w:ascii="Cambria Math" w:hAnsi="Cambria Math"/>
                            <w:szCs w:val="24"/>
                          </w:rPr>
                        </m:ctrlPr>
                      </m:dPr>
                      <m:e>
                        <m:sSubSup>
                          <m:sSubSupPr>
                            <m:ctrlPr>
                              <w:rPr>
                                <w:rFonts w:ascii="Cambria Math" w:hAnsi="Cambria Math"/>
                                <w:szCs w:val="24"/>
                              </w:rPr>
                            </m:ctrlPr>
                          </m:sSubSupPr>
                          <m:e>
                            <m:r>
                              <w:rPr>
                                <w:rFonts w:ascii="Cambria Math" w:hAnsi="Cambria Math"/>
                                <w:szCs w:val="24"/>
                              </w:rPr>
                              <m:t>D</m:t>
                            </m:r>
                          </m:e>
                          <m:sub>
                            <m:r>
                              <m:rPr>
                                <m:sty m:val="p"/>
                              </m:rPr>
                              <w:rPr>
                                <w:rFonts w:ascii="Cambria Math" w:hAnsi="Cambria Math" w:hint="eastAsia"/>
                                <w:szCs w:val="24"/>
                              </w:rPr>
                              <m:t>o</m:t>
                            </m:r>
                          </m:sub>
                          <m:sup>
                            <m:r>
                              <m:rPr>
                                <m:sty m:val="p"/>
                              </m:rPr>
                              <w:rPr>
                                <w:rFonts w:ascii="Cambria Math" w:hAnsi="Cambria Math"/>
                                <w:szCs w:val="24"/>
                              </w:rPr>
                              <m:t>2</m:t>
                            </m:r>
                          </m:sup>
                        </m:sSubSup>
                        <m:r>
                          <m:rPr>
                            <m:sty m:val="p"/>
                          </m:rPr>
                          <w:rPr>
                            <w:rFonts w:ascii="Cambria Math" w:hAnsi="Cambria Math"/>
                            <w:szCs w:val="24"/>
                          </w:rPr>
                          <m:t>-</m:t>
                        </m:r>
                        <m:sSubSup>
                          <m:sSubSupPr>
                            <m:ctrlPr>
                              <w:rPr>
                                <w:rFonts w:ascii="Cambria Math" w:hAnsi="Cambria Math"/>
                                <w:szCs w:val="24"/>
                              </w:rPr>
                            </m:ctrlPr>
                          </m:sSubSupPr>
                          <m:e>
                            <m:r>
                              <w:rPr>
                                <w:rFonts w:ascii="Cambria Math" w:hAnsi="Cambria Math"/>
                                <w:szCs w:val="24"/>
                              </w:rPr>
                              <m:t>D</m:t>
                            </m:r>
                          </m:e>
                          <m:sub>
                            <m:r>
                              <m:rPr>
                                <m:sty m:val="p"/>
                              </m:rPr>
                              <w:rPr>
                                <w:rFonts w:ascii="Cambria Math" w:hAnsi="Cambria Math" w:hint="eastAsia"/>
                                <w:szCs w:val="24"/>
                              </w:rPr>
                              <m:t>i</m:t>
                            </m:r>
                          </m:sub>
                          <m:sup>
                            <m:r>
                              <m:rPr>
                                <m:sty m:val="p"/>
                              </m:rPr>
                              <w:rPr>
                                <w:rFonts w:ascii="Cambria Math" w:hAnsi="Cambria Math"/>
                                <w:szCs w:val="24"/>
                              </w:rPr>
                              <m:t>2</m:t>
                            </m:r>
                          </m:sup>
                        </m:sSubSup>
                      </m:e>
                    </m:d>
                  </m:den>
                </m:f>
              </m:oMath>
            </m:oMathPara>
          </w:p>
        </w:tc>
        <w:tc>
          <w:tcPr>
            <w:tcW w:w="2866" w:type="dxa"/>
            <w:vAlign w:val="center"/>
          </w:tcPr>
          <w:p w14:paraId="689B6702" w14:textId="77777777" w:rsidR="00A475C9" w:rsidRPr="00A475C9" w:rsidRDefault="00A475C9" w:rsidP="0073403D">
            <w:pPr>
              <w:pStyle w:val="afa"/>
              <w:ind w:firstLine="480"/>
              <w:jc w:val="right"/>
              <w:rPr>
                <w:szCs w:val="24"/>
              </w:rPr>
            </w:pPr>
            <w:r w:rsidRPr="00A475C9">
              <w:rPr>
                <w:rFonts w:hint="eastAsia"/>
                <w:szCs w:val="24"/>
              </w:rPr>
              <w:t>(5</w:t>
            </w:r>
            <w:r w:rsidRPr="00A475C9">
              <w:rPr>
                <w:szCs w:val="24"/>
              </w:rPr>
              <w:t>)</w:t>
            </w:r>
          </w:p>
        </w:tc>
      </w:tr>
    </w:tbl>
    <w:p w14:paraId="1C53AE8B" w14:textId="77777777" w:rsidR="00A475C9" w:rsidRPr="00A475C9" w:rsidRDefault="00A475C9" w:rsidP="00A475C9">
      <w:pPr>
        <w:spacing w:before="240" w:after="240" w:line="360" w:lineRule="auto"/>
        <w:ind w:left="420" w:firstLine="480"/>
        <w:rPr>
          <w:sz w:val="24"/>
          <w:szCs w:val="24"/>
        </w:rPr>
      </w:pPr>
      <w:r w:rsidRPr="00A475C9">
        <w:rPr>
          <w:rFonts w:hint="eastAsia"/>
          <w:sz w:val="24"/>
          <w:szCs w:val="24"/>
        </w:rPr>
        <w:t>其中：</w:t>
      </w:r>
    </w:p>
    <w:p w14:paraId="515BCE88" w14:textId="77777777" w:rsidR="00A475C9" w:rsidRPr="00A475C9" w:rsidRDefault="00BC2517" w:rsidP="00A475C9">
      <w:pPr>
        <w:spacing w:before="240" w:after="240" w:line="360" w:lineRule="auto"/>
        <w:ind w:left="420" w:firstLine="480"/>
        <w:rPr>
          <w:sz w:val="24"/>
          <w:szCs w:val="24"/>
        </w:rPr>
      </w:pPr>
      <m:oMath>
        <m:sSub>
          <m:sSubPr>
            <m:ctrlPr>
              <w:rPr>
                <w:rFonts w:ascii="Cambria Math" w:hAnsi="Cambria Math"/>
                <w:sz w:val="24"/>
                <w:szCs w:val="24"/>
              </w:rPr>
            </m:ctrlPr>
          </m:sSubPr>
          <m:e>
            <m:r>
              <w:rPr>
                <w:rFonts w:ascii="Cambria Math" w:hAnsi="Cambria Math"/>
                <w:sz w:val="24"/>
                <w:szCs w:val="24"/>
              </w:rPr>
              <m:t>σ</m:t>
            </m:r>
          </m:e>
          <m:sub>
            <m:r>
              <w:rPr>
                <w:rFonts w:ascii="Cambria Math" w:hAnsi="Cambria Math"/>
                <w:sz w:val="24"/>
                <w:szCs w:val="24"/>
              </w:rPr>
              <m:t>θ</m:t>
            </m:r>
          </m:sub>
        </m:sSub>
      </m:oMath>
      <w:r w:rsidR="00A475C9" w:rsidRPr="00A475C9">
        <w:rPr>
          <w:rFonts w:hint="eastAsia"/>
          <w:sz w:val="24"/>
          <w:szCs w:val="24"/>
        </w:rPr>
        <w:t>为管材的环向受力，单位为</w:t>
      </w:r>
      <w:r w:rsidR="00A475C9" w:rsidRPr="00A475C9">
        <w:rPr>
          <w:rFonts w:hint="eastAsia"/>
          <w:sz w:val="24"/>
          <w:szCs w:val="24"/>
        </w:rPr>
        <w:t>M</w:t>
      </w:r>
      <w:r w:rsidR="00A475C9" w:rsidRPr="00A475C9">
        <w:rPr>
          <w:sz w:val="24"/>
          <w:szCs w:val="24"/>
        </w:rPr>
        <w:t>P</w:t>
      </w:r>
      <w:r w:rsidR="00A475C9" w:rsidRPr="00A475C9">
        <w:rPr>
          <w:rFonts w:hint="eastAsia"/>
          <w:sz w:val="24"/>
          <w:szCs w:val="24"/>
        </w:rPr>
        <w:t>a</w:t>
      </w:r>
      <w:r w:rsidR="00A475C9" w:rsidRPr="00A475C9">
        <w:rPr>
          <w:rFonts w:hint="eastAsia"/>
          <w:sz w:val="24"/>
          <w:szCs w:val="24"/>
        </w:rPr>
        <w:t>；</w:t>
      </w:r>
      <m:oMath>
        <m:sSub>
          <m:sSubPr>
            <m:ctrlPr>
              <w:rPr>
                <w:rFonts w:ascii="Cambria Math" w:hAnsi="Cambria Math"/>
                <w:sz w:val="24"/>
                <w:szCs w:val="24"/>
              </w:rPr>
            </m:ctrlPr>
          </m:sSubPr>
          <m:e>
            <m:r>
              <w:rPr>
                <w:rFonts w:ascii="Cambria Math" w:hAnsi="Cambria Math"/>
                <w:sz w:val="24"/>
                <w:szCs w:val="24"/>
              </w:rPr>
              <m:t>σ</m:t>
            </m:r>
          </m:e>
          <m:sub>
            <m:r>
              <w:rPr>
                <w:rFonts w:ascii="Cambria Math" w:hAnsi="Cambria Math"/>
                <w:sz w:val="24"/>
                <w:szCs w:val="24"/>
              </w:rPr>
              <m:t>Z</m:t>
            </m:r>
          </m:sub>
        </m:sSub>
      </m:oMath>
      <w:r w:rsidR="00A475C9" w:rsidRPr="00A475C9">
        <w:rPr>
          <w:rFonts w:hint="eastAsia"/>
          <w:sz w:val="24"/>
          <w:szCs w:val="24"/>
        </w:rPr>
        <w:t>为管材的轴向受力，单位为</w:t>
      </w:r>
      <w:r w:rsidR="00A475C9" w:rsidRPr="00A475C9">
        <w:rPr>
          <w:rFonts w:hint="eastAsia"/>
          <w:sz w:val="24"/>
          <w:szCs w:val="24"/>
        </w:rPr>
        <w:t>M</w:t>
      </w:r>
      <w:r w:rsidR="00A475C9" w:rsidRPr="00A475C9">
        <w:rPr>
          <w:sz w:val="24"/>
          <w:szCs w:val="24"/>
        </w:rPr>
        <w:t>P</w:t>
      </w:r>
      <w:r w:rsidR="00A475C9" w:rsidRPr="00A475C9">
        <w:rPr>
          <w:rFonts w:hint="eastAsia"/>
          <w:sz w:val="24"/>
          <w:szCs w:val="24"/>
        </w:rPr>
        <w:t>a</w:t>
      </w:r>
      <w:r w:rsidR="00A475C9" w:rsidRPr="00A475C9">
        <w:rPr>
          <w:rFonts w:hint="eastAsia"/>
          <w:sz w:val="24"/>
          <w:szCs w:val="24"/>
        </w:rPr>
        <w:t>；</w:t>
      </w:r>
      <m:oMath>
        <m:r>
          <w:rPr>
            <w:rFonts w:ascii="Cambria Math" w:hAnsi="Cambria Math"/>
            <w:sz w:val="24"/>
            <w:szCs w:val="24"/>
          </w:rPr>
          <m:t>P</m:t>
        </m:r>
      </m:oMath>
      <w:r w:rsidR="00A475C9" w:rsidRPr="00A475C9">
        <w:rPr>
          <w:rFonts w:hint="eastAsia"/>
          <w:sz w:val="24"/>
          <w:szCs w:val="24"/>
        </w:rPr>
        <w:t>为试样加载气压，单位为</w:t>
      </w:r>
      <w:r w:rsidR="00A475C9" w:rsidRPr="00A475C9">
        <w:rPr>
          <w:rFonts w:hint="eastAsia"/>
          <w:sz w:val="24"/>
          <w:szCs w:val="24"/>
        </w:rPr>
        <w:t>M</w:t>
      </w:r>
      <w:r w:rsidR="00A475C9" w:rsidRPr="00A475C9">
        <w:rPr>
          <w:sz w:val="24"/>
          <w:szCs w:val="24"/>
        </w:rPr>
        <w:t>P</w:t>
      </w:r>
      <w:r w:rsidR="00A475C9" w:rsidRPr="00A475C9">
        <w:rPr>
          <w:rFonts w:hint="eastAsia"/>
          <w:sz w:val="24"/>
          <w:szCs w:val="24"/>
        </w:rPr>
        <w:t>a</w:t>
      </w:r>
      <w:r w:rsidR="00A475C9" w:rsidRPr="00A475C9">
        <w:rPr>
          <w:rFonts w:hint="eastAsia"/>
          <w:sz w:val="24"/>
          <w:szCs w:val="24"/>
        </w:rPr>
        <w:t>；</w:t>
      </w:r>
      <m:oMath>
        <m:r>
          <w:rPr>
            <w:rFonts w:ascii="Cambria Math" w:hAnsi="Cambria Math"/>
            <w:sz w:val="24"/>
            <w:szCs w:val="24"/>
          </w:rPr>
          <m:t>W</m:t>
        </m:r>
      </m:oMath>
      <w:r w:rsidR="00A475C9" w:rsidRPr="00A475C9">
        <w:rPr>
          <w:rFonts w:hint="eastAsia"/>
          <w:sz w:val="24"/>
          <w:szCs w:val="24"/>
        </w:rPr>
        <w:t>为轴向拉伸加载力，单位为</w:t>
      </w:r>
      <w:r w:rsidR="00A475C9" w:rsidRPr="00A475C9">
        <w:rPr>
          <w:rFonts w:hint="eastAsia"/>
          <w:sz w:val="24"/>
          <w:szCs w:val="24"/>
        </w:rPr>
        <w:t>N</w:t>
      </w:r>
      <w:r w:rsidR="00A475C9" w:rsidRPr="00A475C9">
        <w:rPr>
          <w:rFonts w:hint="eastAsia"/>
          <w:sz w:val="24"/>
          <w:szCs w:val="24"/>
        </w:rPr>
        <w:t>；</w:t>
      </w:r>
      <m:oMath>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o</m:t>
            </m:r>
          </m:sub>
        </m:sSub>
        <m:r>
          <m:rPr>
            <m:sty m:val="p"/>
          </m:rPr>
          <w:rPr>
            <w:rFonts w:ascii="Cambria Math" w:hAnsi="Cambria Math"/>
            <w:sz w:val="24"/>
            <w:szCs w:val="24"/>
          </w:rPr>
          <m:t xml:space="preserve"> </m:t>
        </m:r>
      </m:oMath>
      <w:r w:rsidR="00A475C9" w:rsidRPr="00A475C9">
        <w:rPr>
          <w:rFonts w:hint="eastAsia"/>
          <w:sz w:val="24"/>
          <w:szCs w:val="24"/>
        </w:rPr>
        <w:t>为管材平均外径，单位为</w:t>
      </w:r>
      <w:r w:rsidR="00A475C9" w:rsidRPr="00A475C9">
        <w:rPr>
          <w:rFonts w:hint="eastAsia"/>
          <w:sz w:val="24"/>
          <w:szCs w:val="24"/>
        </w:rPr>
        <w:t>mm</w:t>
      </w:r>
      <w:r w:rsidR="00A475C9" w:rsidRPr="00A475C9">
        <w:rPr>
          <w:rFonts w:hint="eastAsia"/>
          <w:sz w:val="24"/>
          <w:szCs w:val="24"/>
        </w:rPr>
        <w:t>；</w:t>
      </w:r>
      <m:oMath>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i</m:t>
            </m:r>
          </m:sub>
        </m:sSub>
      </m:oMath>
      <w:r w:rsidR="00A475C9" w:rsidRPr="00A475C9">
        <w:rPr>
          <w:rFonts w:hint="eastAsia"/>
          <w:sz w:val="24"/>
          <w:szCs w:val="24"/>
        </w:rPr>
        <w:t>为管材的平均内径，单位为</w:t>
      </w:r>
      <w:r w:rsidR="00A475C9" w:rsidRPr="00A475C9">
        <w:rPr>
          <w:rFonts w:hint="eastAsia"/>
          <w:sz w:val="24"/>
          <w:szCs w:val="24"/>
        </w:rPr>
        <w:t>mm</w:t>
      </w:r>
      <w:r w:rsidR="00A475C9" w:rsidRPr="00A475C9">
        <w:rPr>
          <w:rFonts w:hint="eastAsia"/>
          <w:sz w:val="24"/>
          <w:szCs w:val="24"/>
        </w:rPr>
        <w:t>；</w:t>
      </w:r>
      <m:oMath>
        <m:r>
          <w:rPr>
            <w:rFonts w:ascii="Cambria Math" w:hAnsi="Cambria Math" w:hint="eastAsia"/>
            <w:sz w:val="24"/>
            <w:szCs w:val="24"/>
          </w:rPr>
          <m:t>t</m:t>
        </m:r>
      </m:oMath>
      <w:r w:rsidR="00A475C9" w:rsidRPr="00A475C9">
        <w:rPr>
          <w:rFonts w:hint="eastAsia"/>
          <w:sz w:val="24"/>
          <w:szCs w:val="24"/>
        </w:rPr>
        <w:t>为壁厚，单位为</w:t>
      </w:r>
      <w:r w:rsidR="00A475C9" w:rsidRPr="00A475C9">
        <w:rPr>
          <w:rFonts w:hint="eastAsia"/>
          <w:sz w:val="24"/>
          <w:szCs w:val="24"/>
        </w:rPr>
        <w:t>mm</w:t>
      </w:r>
      <w:r w:rsidR="00A475C9" w:rsidRPr="00A475C9">
        <w:rPr>
          <w:rFonts w:hint="eastAsia"/>
          <w:sz w:val="24"/>
          <w:szCs w:val="24"/>
        </w:rPr>
        <w:t>。</w:t>
      </w:r>
    </w:p>
    <w:p w14:paraId="3D38DC7C" w14:textId="77777777" w:rsidR="005E4C4B" w:rsidRDefault="005E4C4B" w:rsidP="005E4C4B">
      <w:pPr>
        <w:numPr>
          <w:ilvl w:val="0"/>
          <w:numId w:val="4"/>
        </w:numPr>
        <w:spacing w:before="240" w:after="240" w:line="360" w:lineRule="auto"/>
        <w:rPr>
          <w:rFonts w:ascii="黑体" w:eastAsia="黑体" w:hAnsi="宋体"/>
          <w:sz w:val="28"/>
          <w:szCs w:val="28"/>
        </w:rPr>
      </w:pPr>
      <w:r>
        <w:rPr>
          <w:rFonts w:ascii="黑体" w:eastAsia="黑体" w:hAnsi="宋体" w:hint="eastAsia"/>
          <w:sz w:val="28"/>
          <w:szCs w:val="28"/>
        </w:rPr>
        <w:t>预期效益</w:t>
      </w:r>
    </w:p>
    <w:p w14:paraId="496F5770" w14:textId="77777777" w:rsidR="005E4C4B" w:rsidRPr="0022191A" w:rsidRDefault="0022191A" w:rsidP="0022191A">
      <w:pPr>
        <w:spacing w:line="360" w:lineRule="auto"/>
        <w:ind w:firstLineChars="200" w:firstLine="480"/>
        <w:rPr>
          <w:sz w:val="24"/>
        </w:rPr>
      </w:pPr>
      <w:r w:rsidRPr="0022191A">
        <w:rPr>
          <w:rFonts w:hint="eastAsia"/>
          <w:sz w:val="24"/>
        </w:rPr>
        <w:t>本标准</w:t>
      </w:r>
      <w:r>
        <w:rPr>
          <w:rFonts w:hint="eastAsia"/>
          <w:sz w:val="24"/>
        </w:rPr>
        <w:t>可用于指导</w:t>
      </w:r>
      <w:r w:rsidRPr="0022191A">
        <w:rPr>
          <w:rFonts w:hint="eastAsia"/>
          <w:sz w:val="24"/>
        </w:rPr>
        <w:t>Cr</w:t>
      </w:r>
      <w:r w:rsidRPr="0022191A">
        <w:rPr>
          <w:rFonts w:hint="eastAsia"/>
          <w:sz w:val="24"/>
        </w:rPr>
        <w:t>涂层包壳耐事故燃料组件</w:t>
      </w:r>
      <w:r>
        <w:rPr>
          <w:rFonts w:hint="eastAsia"/>
          <w:sz w:val="24"/>
        </w:rPr>
        <w:t>的生产和检验</w:t>
      </w:r>
      <w:r w:rsidRPr="0022191A">
        <w:rPr>
          <w:rFonts w:hint="eastAsia"/>
          <w:sz w:val="24"/>
        </w:rPr>
        <w:t>，</w:t>
      </w:r>
      <w:r>
        <w:rPr>
          <w:rFonts w:hint="eastAsia"/>
          <w:sz w:val="24"/>
        </w:rPr>
        <w:t>后续燃料组件</w:t>
      </w:r>
      <w:r w:rsidRPr="0022191A">
        <w:rPr>
          <w:rFonts w:hint="eastAsia"/>
          <w:sz w:val="24"/>
        </w:rPr>
        <w:t>可应用于华龙一号、玲龙一号、</w:t>
      </w:r>
      <w:r w:rsidRPr="0022191A">
        <w:rPr>
          <w:rFonts w:hint="eastAsia"/>
          <w:sz w:val="24"/>
        </w:rPr>
        <w:t>M310</w:t>
      </w:r>
      <w:r w:rsidRPr="0022191A">
        <w:rPr>
          <w:rFonts w:hint="eastAsia"/>
          <w:sz w:val="24"/>
        </w:rPr>
        <w:t>等核电机型</w:t>
      </w:r>
      <w:r w:rsidR="00AC3892">
        <w:rPr>
          <w:rFonts w:hint="eastAsia"/>
          <w:sz w:val="24"/>
        </w:rPr>
        <w:t>，提升安全性和经济性</w:t>
      </w:r>
      <w:r w:rsidRPr="0022191A">
        <w:rPr>
          <w:rFonts w:hint="eastAsia"/>
          <w:sz w:val="24"/>
        </w:rPr>
        <w:t>。</w:t>
      </w:r>
    </w:p>
    <w:p w14:paraId="4F7A4E16" w14:textId="77777777" w:rsidR="00F8183E" w:rsidRDefault="00E81374">
      <w:pPr>
        <w:numPr>
          <w:ilvl w:val="0"/>
          <w:numId w:val="4"/>
        </w:numPr>
        <w:spacing w:before="240" w:after="240" w:line="360" w:lineRule="auto"/>
        <w:rPr>
          <w:rFonts w:ascii="黑体" w:eastAsia="黑体" w:hAnsi="宋体"/>
          <w:sz w:val="28"/>
          <w:szCs w:val="28"/>
        </w:rPr>
      </w:pPr>
      <w:r>
        <w:rPr>
          <w:rFonts w:ascii="黑体" w:eastAsia="黑体" w:hAnsi="宋体" w:hint="eastAsia"/>
          <w:sz w:val="28"/>
          <w:szCs w:val="28"/>
        </w:rPr>
        <w:t>标准水平</w:t>
      </w:r>
      <w:r>
        <w:rPr>
          <w:rFonts w:ascii="黑体" w:eastAsia="黑体" w:hAnsi="宋体"/>
          <w:sz w:val="28"/>
          <w:szCs w:val="28"/>
        </w:rPr>
        <w:t>分析</w:t>
      </w:r>
    </w:p>
    <w:p w14:paraId="22127923" w14:textId="77777777" w:rsidR="00BF1ECC" w:rsidRPr="0022191A" w:rsidRDefault="0022191A" w:rsidP="0022191A">
      <w:pPr>
        <w:spacing w:line="360" w:lineRule="auto"/>
        <w:ind w:firstLineChars="200" w:firstLine="480"/>
        <w:rPr>
          <w:sz w:val="24"/>
        </w:rPr>
      </w:pPr>
      <w:r>
        <w:rPr>
          <w:rFonts w:hint="eastAsia"/>
          <w:sz w:val="24"/>
        </w:rPr>
        <w:t>国内尚无其他</w:t>
      </w:r>
      <w:r w:rsidRPr="0022191A">
        <w:rPr>
          <w:rFonts w:hint="eastAsia"/>
          <w:sz w:val="24"/>
        </w:rPr>
        <w:t>Cr</w:t>
      </w:r>
      <w:r w:rsidRPr="0022191A">
        <w:rPr>
          <w:rFonts w:hint="eastAsia"/>
          <w:sz w:val="24"/>
        </w:rPr>
        <w:t>涂层包壳耐事故燃料组件</w:t>
      </w:r>
      <w:r>
        <w:rPr>
          <w:rFonts w:hint="eastAsia"/>
          <w:sz w:val="24"/>
        </w:rPr>
        <w:t>相关标准，达到国内先进水平。</w:t>
      </w:r>
    </w:p>
    <w:p w14:paraId="39BDF0B5" w14:textId="77777777" w:rsidR="00F8183E" w:rsidRDefault="00E81374">
      <w:pPr>
        <w:numPr>
          <w:ilvl w:val="0"/>
          <w:numId w:val="4"/>
        </w:numPr>
        <w:spacing w:before="240" w:after="240" w:line="360" w:lineRule="auto"/>
        <w:rPr>
          <w:rFonts w:ascii="黑体" w:eastAsia="黑体" w:hAnsi="宋体"/>
          <w:sz w:val="28"/>
          <w:szCs w:val="28"/>
        </w:rPr>
      </w:pPr>
      <w:r>
        <w:rPr>
          <w:rFonts w:ascii="黑体" w:eastAsia="黑体" w:hAnsi="宋体" w:hint="eastAsia"/>
          <w:sz w:val="28"/>
          <w:szCs w:val="28"/>
        </w:rPr>
        <w:t>与有关</w:t>
      </w:r>
      <w:r>
        <w:rPr>
          <w:rFonts w:ascii="黑体" w:eastAsia="黑体" w:hAnsi="宋体"/>
          <w:sz w:val="28"/>
          <w:szCs w:val="28"/>
        </w:rPr>
        <w:t>的现行法律</w:t>
      </w:r>
      <w:r>
        <w:rPr>
          <w:rFonts w:ascii="黑体" w:eastAsia="黑体" w:hAnsi="宋体" w:hint="eastAsia"/>
          <w:sz w:val="28"/>
          <w:szCs w:val="28"/>
        </w:rPr>
        <w:t>、</w:t>
      </w:r>
      <w:r>
        <w:rPr>
          <w:rFonts w:ascii="黑体" w:eastAsia="黑体" w:hAnsi="宋体"/>
          <w:sz w:val="28"/>
          <w:szCs w:val="28"/>
        </w:rPr>
        <w:t>法规</w:t>
      </w:r>
      <w:r>
        <w:rPr>
          <w:rFonts w:ascii="黑体" w:eastAsia="黑体" w:hAnsi="宋体" w:hint="eastAsia"/>
          <w:sz w:val="28"/>
          <w:szCs w:val="28"/>
        </w:rPr>
        <w:t>和</w:t>
      </w:r>
      <w:r>
        <w:rPr>
          <w:rFonts w:ascii="黑体" w:eastAsia="黑体" w:hAnsi="宋体"/>
          <w:sz w:val="28"/>
          <w:szCs w:val="28"/>
        </w:rPr>
        <w:t>强制性国家标准的关系</w:t>
      </w:r>
    </w:p>
    <w:p w14:paraId="46C8240C" w14:textId="77777777" w:rsidR="00BF1ECC" w:rsidRPr="00BF1ECC" w:rsidRDefault="00BF1ECC" w:rsidP="00BF1ECC">
      <w:pPr>
        <w:spacing w:line="360" w:lineRule="auto"/>
        <w:ind w:firstLineChars="200" w:firstLine="480"/>
        <w:rPr>
          <w:sz w:val="24"/>
        </w:rPr>
      </w:pPr>
      <w:r w:rsidRPr="00BF1ECC">
        <w:rPr>
          <w:rFonts w:hint="eastAsia"/>
          <w:sz w:val="24"/>
        </w:rPr>
        <w:t>本标准参考现行法律、法规和标准内容，与现行法律、法规和强制性国家标准协调一致。</w:t>
      </w:r>
    </w:p>
    <w:p w14:paraId="071BC777" w14:textId="77777777"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14:paraId="4FBFD14F" w14:textId="77777777" w:rsidR="00BF1ECC" w:rsidRPr="00BF1ECC" w:rsidRDefault="00BF1ECC" w:rsidP="00BF1ECC">
      <w:pPr>
        <w:spacing w:line="360" w:lineRule="auto"/>
        <w:ind w:firstLineChars="200" w:firstLine="480"/>
        <w:rPr>
          <w:sz w:val="24"/>
        </w:rPr>
      </w:pPr>
      <w:r w:rsidRPr="00BF1ECC">
        <w:rPr>
          <w:rFonts w:hint="eastAsia"/>
          <w:sz w:val="24"/>
        </w:rPr>
        <w:t>本标准编制过程中未涉及重大分歧意见。</w:t>
      </w:r>
    </w:p>
    <w:p w14:paraId="0CCD9C91" w14:textId="77777777"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涉及专利的有关说明</w:t>
      </w:r>
    </w:p>
    <w:p w14:paraId="46FC2A7C" w14:textId="422A53A6" w:rsidR="00BF1ECC" w:rsidRPr="0022191A" w:rsidRDefault="00E54013" w:rsidP="0022191A">
      <w:pPr>
        <w:spacing w:line="360" w:lineRule="auto"/>
        <w:ind w:firstLineChars="200" w:firstLine="480"/>
        <w:rPr>
          <w:sz w:val="24"/>
        </w:rPr>
      </w:pPr>
      <w:r>
        <w:rPr>
          <w:rFonts w:hint="eastAsia"/>
          <w:sz w:val="24"/>
        </w:rPr>
        <w:t>无</w:t>
      </w:r>
    </w:p>
    <w:p w14:paraId="52F6BFA5" w14:textId="77777777"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lastRenderedPageBreak/>
        <w:t>贯彻标准</w:t>
      </w:r>
      <w:r>
        <w:rPr>
          <w:rFonts w:ascii="黑体" w:eastAsia="黑体"/>
          <w:sz w:val="28"/>
          <w:szCs w:val="28"/>
        </w:rPr>
        <w:t>的要求和措施建议</w:t>
      </w:r>
    </w:p>
    <w:p w14:paraId="5F230CA8" w14:textId="1DA01373" w:rsidR="00BF1ECC" w:rsidRPr="00E5724C" w:rsidRDefault="0022191A" w:rsidP="0022191A">
      <w:pPr>
        <w:spacing w:line="360" w:lineRule="auto"/>
        <w:ind w:firstLineChars="200" w:firstLine="480"/>
        <w:rPr>
          <w:sz w:val="24"/>
        </w:rPr>
      </w:pPr>
      <w:r w:rsidRPr="0022191A">
        <w:rPr>
          <w:rFonts w:hint="eastAsia"/>
          <w:sz w:val="24"/>
        </w:rPr>
        <w:t>建议</w:t>
      </w:r>
      <w:r w:rsidR="00BF014D">
        <w:rPr>
          <w:rFonts w:hint="eastAsia"/>
          <w:sz w:val="24"/>
        </w:rPr>
        <w:t>大专院校、科研院所以及薄壁管性能测试机构在</w:t>
      </w:r>
      <w:r w:rsidR="00E5724C">
        <w:rPr>
          <w:rFonts w:hint="eastAsia"/>
          <w:sz w:val="24"/>
        </w:rPr>
        <w:t>开展核燃料元件</w:t>
      </w:r>
      <w:r w:rsidR="00E5724C" w:rsidRPr="00E5724C">
        <w:rPr>
          <w:rFonts w:hint="eastAsia"/>
          <w:sz w:val="24"/>
        </w:rPr>
        <w:t>包壳</w:t>
      </w:r>
      <w:r w:rsidR="00463D63">
        <w:rPr>
          <w:rFonts w:hint="eastAsia"/>
          <w:sz w:val="24"/>
        </w:rPr>
        <w:t>高温</w:t>
      </w:r>
      <w:r w:rsidR="00E5724C" w:rsidRPr="00E5724C">
        <w:rPr>
          <w:rFonts w:hint="eastAsia"/>
          <w:sz w:val="24"/>
        </w:rPr>
        <w:t>内压疲劳试验</w:t>
      </w:r>
      <w:r w:rsidR="00E5724C">
        <w:rPr>
          <w:rFonts w:hint="eastAsia"/>
          <w:sz w:val="24"/>
        </w:rPr>
        <w:t>时可进行参考</w:t>
      </w:r>
      <w:r w:rsidR="00E5724C" w:rsidRPr="00E5724C">
        <w:rPr>
          <w:rFonts w:hint="eastAsia"/>
          <w:sz w:val="24"/>
        </w:rPr>
        <w:t>，其他薄壁金属管材的</w:t>
      </w:r>
      <w:r w:rsidR="00E5724C">
        <w:rPr>
          <w:rFonts w:hint="eastAsia"/>
          <w:sz w:val="24"/>
        </w:rPr>
        <w:t>拉</w:t>
      </w:r>
      <w:r w:rsidR="00E5724C">
        <w:rPr>
          <w:rFonts w:hint="eastAsia"/>
          <w:sz w:val="24"/>
        </w:rPr>
        <w:t>-</w:t>
      </w:r>
      <w:r w:rsidR="00E5724C">
        <w:rPr>
          <w:rFonts w:hint="eastAsia"/>
          <w:sz w:val="24"/>
        </w:rPr>
        <w:t>拉</w:t>
      </w:r>
      <w:r w:rsidR="00E5724C" w:rsidRPr="00E5724C">
        <w:rPr>
          <w:rFonts w:hint="eastAsia"/>
          <w:sz w:val="24"/>
        </w:rPr>
        <w:t>内压疲劳试验也可参照执行。</w:t>
      </w:r>
    </w:p>
    <w:p w14:paraId="5EA98290" w14:textId="77777777"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参考资料</w:t>
      </w:r>
      <w:r>
        <w:rPr>
          <w:rFonts w:ascii="黑体" w:eastAsia="黑体"/>
          <w:sz w:val="28"/>
          <w:szCs w:val="28"/>
        </w:rPr>
        <w:t>清单</w:t>
      </w:r>
    </w:p>
    <w:p w14:paraId="3D68CA41" w14:textId="77777777" w:rsidR="007A08AD" w:rsidRPr="007A08AD" w:rsidRDefault="007A08AD" w:rsidP="007A08AD">
      <w:pPr>
        <w:spacing w:line="360" w:lineRule="auto"/>
        <w:ind w:firstLineChars="200" w:firstLine="480"/>
        <w:rPr>
          <w:rFonts w:ascii="Times New Roman" w:hAnsi="Times New Roman"/>
          <w:sz w:val="24"/>
        </w:rPr>
      </w:pPr>
      <w:r w:rsidRPr="007A08AD">
        <w:rPr>
          <w:rFonts w:ascii="Times New Roman" w:hAnsi="Times New Roman" w:hint="eastAsia"/>
          <w:sz w:val="24"/>
        </w:rPr>
        <w:t xml:space="preserve">GB/T 228.2-2015 </w:t>
      </w:r>
      <w:r w:rsidRPr="007A08AD">
        <w:rPr>
          <w:rFonts w:ascii="Times New Roman" w:hAnsi="Times New Roman"/>
          <w:sz w:val="24"/>
        </w:rPr>
        <w:t xml:space="preserve"> </w:t>
      </w:r>
      <w:r w:rsidRPr="007A08AD">
        <w:rPr>
          <w:rFonts w:ascii="Times New Roman" w:hAnsi="Times New Roman" w:hint="eastAsia"/>
          <w:sz w:val="24"/>
        </w:rPr>
        <w:t>金属材料</w:t>
      </w:r>
      <w:r w:rsidRPr="007A08AD">
        <w:rPr>
          <w:rFonts w:ascii="Times New Roman" w:hAnsi="Times New Roman" w:hint="eastAsia"/>
          <w:sz w:val="24"/>
        </w:rPr>
        <w:t xml:space="preserve"> </w:t>
      </w:r>
      <w:r w:rsidRPr="007A08AD">
        <w:rPr>
          <w:rFonts w:ascii="Times New Roman" w:hAnsi="Times New Roman" w:hint="eastAsia"/>
          <w:sz w:val="24"/>
        </w:rPr>
        <w:t>拉伸试验</w:t>
      </w:r>
      <w:r w:rsidRPr="007A08AD">
        <w:rPr>
          <w:rFonts w:ascii="Times New Roman" w:hAnsi="Times New Roman" w:hint="eastAsia"/>
          <w:sz w:val="24"/>
        </w:rPr>
        <w:t xml:space="preserve"> </w:t>
      </w:r>
      <w:r w:rsidRPr="007A08AD">
        <w:rPr>
          <w:rFonts w:ascii="Times New Roman" w:hAnsi="Times New Roman" w:hint="eastAsia"/>
          <w:sz w:val="24"/>
        </w:rPr>
        <w:t>第</w:t>
      </w:r>
      <w:r w:rsidRPr="007A08AD">
        <w:rPr>
          <w:rFonts w:ascii="Times New Roman" w:hAnsi="Times New Roman" w:hint="eastAsia"/>
          <w:sz w:val="24"/>
        </w:rPr>
        <w:t>2</w:t>
      </w:r>
      <w:r w:rsidRPr="007A08AD">
        <w:rPr>
          <w:rFonts w:ascii="Times New Roman" w:hAnsi="Times New Roman" w:hint="eastAsia"/>
          <w:sz w:val="24"/>
        </w:rPr>
        <w:t>部分：高温试验方法</w:t>
      </w:r>
    </w:p>
    <w:p w14:paraId="7823F0FB" w14:textId="77777777" w:rsidR="007A08AD" w:rsidRPr="007A08AD" w:rsidRDefault="007A08AD" w:rsidP="007A08AD">
      <w:pPr>
        <w:spacing w:line="360" w:lineRule="auto"/>
        <w:ind w:firstLineChars="200" w:firstLine="480"/>
        <w:rPr>
          <w:rFonts w:ascii="Times New Roman" w:hAnsi="Times New Roman"/>
          <w:sz w:val="24"/>
        </w:rPr>
      </w:pPr>
      <w:r w:rsidRPr="007A08AD">
        <w:rPr>
          <w:rFonts w:ascii="Times New Roman" w:hAnsi="Times New Roman" w:hint="eastAsia"/>
          <w:sz w:val="24"/>
        </w:rPr>
        <w:t xml:space="preserve">YS/T 1474-2021 </w:t>
      </w:r>
      <w:r w:rsidRPr="007A08AD">
        <w:rPr>
          <w:rFonts w:ascii="Times New Roman" w:hAnsi="Times New Roman"/>
          <w:sz w:val="24"/>
        </w:rPr>
        <w:t xml:space="preserve"> </w:t>
      </w:r>
      <w:proofErr w:type="gramStart"/>
      <w:r w:rsidRPr="007A08AD">
        <w:rPr>
          <w:rFonts w:ascii="Times New Roman" w:hAnsi="Times New Roman" w:hint="eastAsia"/>
          <w:sz w:val="24"/>
        </w:rPr>
        <w:t>锆</w:t>
      </w:r>
      <w:proofErr w:type="gramEnd"/>
      <w:r w:rsidRPr="007A08AD">
        <w:rPr>
          <w:rFonts w:ascii="Times New Roman" w:hAnsi="Times New Roman" w:hint="eastAsia"/>
          <w:sz w:val="24"/>
        </w:rPr>
        <w:t>合金管材高温内压爆破试验方法</w:t>
      </w:r>
    </w:p>
    <w:p w14:paraId="15E0D76E" w14:textId="77777777" w:rsidR="007A08AD" w:rsidRPr="007A08AD" w:rsidRDefault="007A08AD" w:rsidP="007A08AD">
      <w:pPr>
        <w:spacing w:line="360" w:lineRule="auto"/>
        <w:ind w:firstLineChars="200" w:firstLine="480"/>
        <w:rPr>
          <w:rFonts w:ascii="Times New Roman" w:hAnsi="Times New Roman"/>
          <w:sz w:val="24"/>
        </w:rPr>
      </w:pPr>
      <w:r w:rsidRPr="007A08AD">
        <w:rPr>
          <w:rFonts w:ascii="Times New Roman" w:hAnsi="Times New Roman" w:hint="eastAsia"/>
          <w:sz w:val="24"/>
        </w:rPr>
        <w:t xml:space="preserve">GB/T 8170 </w:t>
      </w:r>
      <w:r w:rsidRPr="007A08AD">
        <w:rPr>
          <w:rFonts w:ascii="Times New Roman" w:hAnsi="Times New Roman"/>
          <w:sz w:val="24"/>
        </w:rPr>
        <w:t xml:space="preserve"> </w:t>
      </w:r>
      <w:r w:rsidRPr="007A08AD">
        <w:rPr>
          <w:rFonts w:ascii="Times New Roman" w:hAnsi="Times New Roman" w:hint="eastAsia"/>
          <w:sz w:val="24"/>
        </w:rPr>
        <w:t>数值</w:t>
      </w:r>
      <w:proofErr w:type="gramStart"/>
      <w:r w:rsidRPr="007A08AD">
        <w:rPr>
          <w:rFonts w:ascii="Times New Roman" w:hAnsi="Times New Roman" w:hint="eastAsia"/>
          <w:sz w:val="24"/>
        </w:rPr>
        <w:t>修约规则</w:t>
      </w:r>
      <w:proofErr w:type="gramEnd"/>
      <w:r w:rsidRPr="007A08AD">
        <w:rPr>
          <w:rFonts w:ascii="Times New Roman" w:hAnsi="Times New Roman" w:hint="eastAsia"/>
          <w:sz w:val="24"/>
        </w:rPr>
        <w:t>与极限数值的表示和判定</w:t>
      </w:r>
    </w:p>
    <w:p w14:paraId="0C8BC8B8" w14:textId="77777777" w:rsidR="00F8183E" w:rsidRDefault="00E81374">
      <w:pPr>
        <w:numPr>
          <w:ilvl w:val="0"/>
          <w:numId w:val="4"/>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14:paraId="699FE7B9" w14:textId="77777777" w:rsidR="00BF1ECC" w:rsidRPr="00BF1ECC" w:rsidRDefault="00BF1ECC" w:rsidP="0022191A">
      <w:pPr>
        <w:spacing w:line="360" w:lineRule="auto"/>
        <w:ind w:firstLineChars="200" w:firstLine="480"/>
        <w:rPr>
          <w:sz w:val="24"/>
        </w:rPr>
      </w:pPr>
      <w:r>
        <w:rPr>
          <w:rFonts w:hint="eastAsia"/>
          <w:sz w:val="24"/>
        </w:rPr>
        <w:t>无</w:t>
      </w:r>
      <w:r w:rsidRPr="00BF1ECC">
        <w:rPr>
          <w:rFonts w:hint="eastAsia"/>
          <w:sz w:val="24"/>
        </w:rPr>
        <w:t>。</w:t>
      </w:r>
    </w:p>
    <w:p w14:paraId="36899CD8" w14:textId="77777777" w:rsidR="00F8183E" w:rsidRPr="00BF1ECC" w:rsidRDefault="00F8183E">
      <w:pPr>
        <w:spacing w:line="360" w:lineRule="auto"/>
        <w:ind w:firstLineChars="200" w:firstLine="560"/>
        <w:rPr>
          <w:rFonts w:ascii="黑体" w:eastAsia="黑体"/>
          <w:sz w:val="28"/>
          <w:szCs w:val="28"/>
        </w:rPr>
      </w:pPr>
    </w:p>
    <w:sectPr w:rsidR="00F8183E" w:rsidRPr="00BF1ECC">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6D48" w14:textId="77777777" w:rsidR="00BC2517" w:rsidRDefault="00BC2517">
      <w:r>
        <w:separator/>
      </w:r>
    </w:p>
  </w:endnote>
  <w:endnote w:type="continuationSeparator" w:id="0">
    <w:p w14:paraId="66261BFF" w14:textId="77777777" w:rsidR="00BC2517" w:rsidRDefault="00BC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20771" w14:textId="77777777" w:rsidR="00F8183E" w:rsidRDefault="00F8183E">
    <w:pPr>
      <w:pStyle w:val="a5"/>
      <w:jc w:val="center"/>
    </w:pPr>
  </w:p>
  <w:p w14:paraId="4CF4297B" w14:textId="77777777" w:rsidR="00F8183E" w:rsidRDefault="00F818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474950"/>
      <w:docPartObj>
        <w:docPartGallery w:val="Page Numbers (Bottom of Page)"/>
        <w:docPartUnique/>
      </w:docPartObj>
    </w:sdtPr>
    <w:sdtEndPr>
      <w:rPr>
        <w:rFonts w:asciiTheme="minorEastAsia" w:hAnsiTheme="minorEastAsia"/>
        <w:sz w:val="21"/>
        <w:szCs w:val="21"/>
      </w:rPr>
    </w:sdtEndPr>
    <w:sdtContent>
      <w:p w14:paraId="5F07A0C6" w14:textId="77777777" w:rsidR="00F8183E" w:rsidRDefault="00E81374">
        <w:pPr>
          <w:pStyle w:val="a5"/>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PAGE   \* MERGEFORMAT</w:instrText>
        </w:r>
        <w:r>
          <w:rPr>
            <w:rFonts w:asciiTheme="minorEastAsia" w:hAnsiTheme="minorEastAsia"/>
            <w:sz w:val="21"/>
            <w:szCs w:val="21"/>
          </w:rPr>
          <w:fldChar w:fldCharType="separate"/>
        </w:r>
        <w:r>
          <w:rPr>
            <w:rFonts w:asciiTheme="minorEastAsia" w:hAnsiTheme="minorEastAsia"/>
            <w:noProof/>
            <w:sz w:val="21"/>
            <w:szCs w:val="21"/>
            <w:lang w:val="zh-CN"/>
          </w:rPr>
          <w:t>2</w:t>
        </w:r>
        <w:r>
          <w:rPr>
            <w:rFonts w:asciiTheme="minorEastAsia" w:hAnsiTheme="minorEastAsia"/>
            <w:sz w:val="21"/>
            <w:szCs w:val="21"/>
          </w:rPr>
          <w:fldChar w:fldCharType="end"/>
        </w:r>
      </w:p>
    </w:sdtContent>
  </w:sdt>
  <w:p w14:paraId="42AFAC4A" w14:textId="77777777" w:rsidR="00F8183E" w:rsidRDefault="00F818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703D7" w14:textId="77777777" w:rsidR="00BC2517" w:rsidRDefault="00BC2517">
      <w:r>
        <w:separator/>
      </w:r>
    </w:p>
  </w:footnote>
  <w:footnote w:type="continuationSeparator" w:id="0">
    <w:p w14:paraId="3F63F7A7" w14:textId="77777777" w:rsidR="00BC2517" w:rsidRDefault="00BC2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55CE"/>
    <w:multiLevelType w:val="hybridMultilevel"/>
    <w:tmpl w:val="0EA4E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14C83"/>
    <w:multiLevelType w:val="hybridMultilevel"/>
    <w:tmpl w:val="53C4DEA0"/>
    <w:lvl w:ilvl="0" w:tplc="239203E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02C2B"/>
    <w:multiLevelType w:val="hybridMultilevel"/>
    <w:tmpl w:val="6AFE2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6336BB"/>
    <w:multiLevelType w:val="hybridMultilevel"/>
    <w:tmpl w:val="B4441EE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15:restartNumberingAfterBreak="0">
    <w:nsid w:val="2D4E3D38"/>
    <w:multiLevelType w:val="hybridMultilevel"/>
    <w:tmpl w:val="A1CA3CCC"/>
    <w:lvl w:ilvl="0" w:tplc="AE940952">
      <w:start w:val="1"/>
      <w:numFmt w:val="japaneseCounting"/>
      <w:lvlText w:val="%1、"/>
      <w:lvlJc w:val="left"/>
      <w:pPr>
        <w:tabs>
          <w:tab w:val="num" w:pos="720"/>
        </w:tabs>
        <w:ind w:left="720" w:hanging="72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3480C12"/>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EB3098"/>
    <w:multiLevelType w:val="hybridMultilevel"/>
    <w:tmpl w:val="08F29FF6"/>
    <w:lvl w:ilvl="0" w:tplc="12F4740E">
      <w:start w:val="1"/>
      <w:numFmt w:val="japaneseCounting"/>
      <w:lvlText w:val="第%1条"/>
      <w:lvlJc w:val="left"/>
      <w:pPr>
        <w:ind w:left="840" w:hanging="840"/>
      </w:pPr>
      <w:rPr>
        <w:rFonts w:ascii="黑体" w:eastAsia="黑体" w:hAnsi="黑体"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8386E"/>
    <w:multiLevelType w:val="hybridMultilevel"/>
    <w:tmpl w:val="7E76D586"/>
    <w:lvl w:ilvl="0" w:tplc="0409000F">
      <w:start w:val="1"/>
      <w:numFmt w:val="decimal"/>
      <w:lvlText w:val="%1."/>
      <w:lvlJc w:val="left"/>
      <w:pPr>
        <w:ind w:left="420" w:hanging="420"/>
      </w:pPr>
    </w:lvl>
    <w:lvl w:ilvl="1" w:tplc="E206B100">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AA6D0B"/>
    <w:multiLevelType w:val="hybridMultilevel"/>
    <w:tmpl w:val="57E204C0"/>
    <w:lvl w:ilvl="0" w:tplc="0602CC4E">
      <w:start w:val="1"/>
      <w:numFmt w:val="decimal"/>
      <w:lvlText w:val="%1、"/>
      <w:lvlJc w:val="left"/>
      <w:pPr>
        <w:ind w:left="276" w:hanging="2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9B3F09"/>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A14764"/>
    <w:multiLevelType w:val="hybridMultilevel"/>
    <w:tmpl w:val="A0C097EA"/>
    <w:lvl w:ilvl="0" w:tplc="05FE4814">
      <w:start w:val="1"/>
      <w:numFmt w:val="japaneseCounting"/>
      <w:lvlText w:val="%1、"/>
      <w:lvlJc w:val="left"/>
      <w:pPr>
        <w:ind w:left="1192" w:hanging="720"/>
      </w:pPr>
      <w:rPr>
        <w:rFonts w:hAnsiTheme="minorHAnsi"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1" w15:restartNumberingAfterBreak="0">
    <w:nsid w:val="73CE0686"/>
    <w:multiLevelType w:val="hybridMultilevel"/>
    <w:tmpl w:val="194485D4"/>
    <w:lvl w:ilvl="0" w:tplc="64D80E84">
      <w:start w:val="1"/>
      <w:numFmt w:val="decimal"/>
      <w:lvlText w:val="%1."/>
      <w:lvlJc w:val="left"/>
      <w:pPr>
        <w:tabs>
          <w:tab w:val="num" w:pos="840"/>
        </w:tabs>
        <w:ind w:left="840" w:hanging="42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788B4191"/>
    <w:multiLevelType w:val="hybridMultilevel"/>
    <w:tmpl w:val="1260712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15:restartNumberingAfterBreak="0">
    <w:nsid w:val="7E0A2679"/>
    <w:multiLevelType w:val="hybridMultilevel"/>
    <w:tmpl w:val="73D421A4"/>
    <w:lvl w:ilvl="0" w:tplc="04090017">
      <w:start w:val="1"/>
      <w:numFmt w:val="chineseCountingThousand"/>
      <w:lvlText w:val="(%1)"/>
      <w:lvlJc w:val="left"/>
      <w:pPr>
        <w:ind w:left="1121" w:hanging="420"/>
      </w:p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num w:numId="1">
    <w:abstractNumId w:val="13"/>
  </w:num>
  <w:num w:numId="2">
    <w:abstractNumId w:val="1"/>
  </w:num>
  <w:num w:numId="3">
    <w:abstractNumId w:val="6"/>
  </w:num>
  <w:num w:numId="4">
    <w:abstractNumId w:val="4"/>
  </w:num>
  <w:num w:numId="5">
    <w:abstractNumId w:val="11"/>
  </w:num>
  <w:num w:numId="6">
    <w:abstractNumId w:val="12"/>
  </w:num>
  <w:num w:numId="7">
    <w:abstractNumId w:val="3"/>
  </w:num>
  <w:num w:numId="8">
    <w:abstractNumId w:val="0"/>
  </w:num>
  <w:num w:numId="9">
    <w:abstractNumId w:val="10"/>
  </w:num>
  <w:num w:numId="10">
    <w:abstractNumId w:val="2"/>
  </w:num>
  <w:num w:numId="11">
    <w:abstractNumId w:val="8"/>
  </w:num>
  <w:num w:numId="12">
    <w:abstractNumId w:val="9"/>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8183E"/>
    <w:rsid w:val="00040B37"/>
    <w:rsid w:val="000D4A34"/>
    <w:rsid w:val="00172775"/>
    <w:rsid w:val="0022191A"/>
    <w:rsid w:val="00303011"/>
    <w:rsid w:val="00463D63"/>
    <w:rsid w:val="00475C7D"/>
    <w:rsid w:val="005E4C4B"/>
    <w:rsid w:val="00652ABA"/>
    <w:rsid w:val="0065707B"/>
    <w:rsid w:val="007A08AD"/>
    <w:rsid w:val="008705B2"/>
    <w:rsid w:val="00883163"/>
    <w:rsid w:val="0090646B"/>
    <w:rsid w:val="00A06C66"/>
    <w:rsid w:val="00A475C9"/>
    <w:rsid w:val="00AC3892"/>
    <w:rsid w:val="00B83042"/>
    <w:rsid w:val="00BC2517"/>
    <w:rsid w:val="00BF014D"/>
    <w:rsid w:val="00BF1ECC"/>
    <w:rsid w:val="00C74DAD"/>
    <w:rsid w:val="00CF799D"/>
    <w:rsid w:val="00E07A14"/>
    <w:rsid w:val="00E54013"/>
    <w:rsid w:val="00E5724C"/>
    <w:rsid w:val="00E81374"/>
    <w:rsid w:val="00F81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618A3"/>
  <w15:docId w15:val="{89BB671B-F9DF-4484-B50C-163030D4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 w:type="paragraph" w:styleId="a7">
    <w:name w:val="List Paragraph"/>
    <w:basedOn w:val="a"/>
    <w:uiPriority w:val="34"/>
    <w:qFormat/>
    <w:pPr>
      <w:ind w:firstLineChars="200" w:firstLine="420"/>
    </w:p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style>
  <w:style w:type="paragraph" w:customStyle="1" w:styleId="aa">
    <w:name w:val="段"/>
    <w:link w:val="Char"/>
    <w:qFormat/>
    <w:pPr>
      <w:tabs>
        <w:tab w:val="center" w:pos="4201"/>
        <w:tab w:val="right" w:leader="dot" w:pos="9298"/>
      </w:tabs>
      <w:autoSpaceDE w:val="0"/>
      <w:autoSpaceDN w:val="0"/>
      <w:ind w:firstLineChars="200" w:firstLine="420"/>
      <w:jc w:val="both"/>
    </w:pPr>
    <w:rPr>
      <w:rFonts w:ascii="宋体" w:eastAsia="宋体" w:hAnsi="Times New Roman" w:cs="宋体"/>
      <w:noProof/>
      <w:kern w:val="0"/>
      <w:szCs w:val="21"/>
    </w:rPr>
  </w:style>
  <w:style w:type="character" w:customStyle="1" w:styleId="Char">
    <w:name w:val="段 Char"/>
    <w:basedOn w:val="a0"/>
    <w:link w:val="aa"/>
    <w:qFormat/>
    <w:locked/>
    <w:rPr>
      <w:rFonts w:ascii="宋体" w:eastAsia="宋体" w:hAnsi="Times New Roman" w:cs="宋体"/>
      <w:noProof/>
      <w:kern w:val="0"/>
      <w:szCs w:val="21"/>
    </w:rPr>
  </w:style>
  <w:style w:type="paragraph" w:customStyle="1" w:styleId="CM49">
    <w:name w:val="CM49"/>
    <w:basedOn w:val="a"/>
    <w:next w:val="a"/>
    <w:pPr>
      <w:autoSpaceDE w:val="0"/>
      <w:autoSpaceDN w:val="0"/>
      <w:adjustRightInd w:val="0"/>
      <w:spacing w:after="305"/>
      <w:jc w:val="left"/>
    </w:pPr>
    <w:rPr>
      <w:rFonts w:ascii="宋体" w:eastAsia="宋体" w:hAnsi="Times New Roman" w:cs="宋体"/>
      <w:kern w:val="0"/>
      <w:sz w:val="24"/>
      <w:szCs w:val="24"/>
    </w:rPr>
  </w:style>
  <w:style w:type="paragraph" w:styleId="ab">
    <w:name w:val="Balloon Text"/>
    <w:basedOn w:val="a"/>
    <w:link w:val="ac"/>
    <w:uiPriority w:val="99"/>
    <w:semiHidden/>
    <w:unhideWhenUsed/>
    <w:rPr>
      <w:sz w:val="18"/>
      <w:szCs w:val="18"/>
    </w:rPr>
  </w:style>
  <w:style w:type="character" w:customStyle="1" w:styleId="ac">
    <w:name w:val="批注框文本 字符"/>
    <w:basedOn w:val="a0"/>
    <w:link w:val="ab"/>
    <w:uiPriority w:val="99"/>
    <w:semiHidden/>
    <w:rPr>
      <w:sz w:val="18"/>
      <w:szCs w:val="18"/>
    </w:rPr>
  </w:style>
  <w:style w:type="paragraph" w:styleId="ad">
    <w:name w:val="footnote text"/>
    <w:basedOn w:val="a"/>
    <w:link w:val="ae"/>
    <w:uiPriority w:val="99"/>
    <w:semiHidden/>
    <w:unhideWhenUsed/>
    <w:pPr>
      <w:snapToGrid w:val="0"/>
      <w:jc w:val="left"/>
    </w:pPr>
    <w:rPr>
      <w:sz w:val="18"/>
      <w:szCs w:val="18"/>
    </w:rPr>
  </w:style>
  <w:style w:type="character" w:customStyle="1" w:styleId="ae">
    <w:name w:val="脚注文本 字符"/>
    <w:basedOn w:val="a0"/>
    <w:link w:val="ad"/>
    <w:uiPriority w:val="99"/>
    <w:semiHidden/>
    <w:rPr>
      <w:sz w:val="18"/>
      <w:szCs w:val="18"/>
    </w:rPr>
  </w:style>
  <w:style w:type="character" w:styleId="af">
    <w:name w:val="footnote reference"/>
    <w:basedOn w:val="a0"/>
    <w:uiPriority w:val="99"/>
    <w:semiHidden/>
    <w:unhideWhenUsed/>
    <w:rPr>
      <w:vertAlign w:val="superscript"/>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semiHidden/>
    <w:unhideWhenUsed/>
    <w:pPr>
      <w:jc w:val="left"/>
    </w:pPr>
  </w:style>
  <w:style w:type="character" w:customStyle="1" w:styleId="af2">
    <w:name w:val="批注文字 字符"/>
    <w:basedOn w:val="a0"/>
    <w:link w:val="af1"/>
    <w:uiPriority w:val="99"/>
    <w:semiHidden/>
  </w:style>
  <w:style w:type="paragraph" w:styleId="af3">
    <w:name w:val="Title"/>
    <w:basedOn w:val="a"/>
    <w:next w:val="a"/>
    <w:link w:val="af4"/>
    <w:uiPriority w:val="10"/>
    <w:qFormat/>
    <w:pPr>
      <w:spacing w:before="240" w:after="60"/>
      <w:jc w:val="center"/>
      <w:outlineLvl w:val="0"/>
    </w:pPr>
    <w:rPr>
      <w:rFonts w:asciiTheme="majorHAnsi" w:eastAsia="宋体" w:hAnsiTheme="majorHAnsi" w:cstheme="majorBidi"/>
      <w:b/>
      <w:bCs/>
      <w:sz w:val="32"/>
      <w:szCs w:val="32"/>
    </w:rPr>
  </w:style>
  <w:style w:type="character" w:customStyle="1" w:styleId="af4">
    <w:name w:val="标题 字符"/>
    <w:basedOn w:val="a0"/>
    <w:link w:val="af3"/>
    <w:uiPriority w:val="10"/>
    <w:rPr>
      <w:rFonts w:asciiTheme="majorHAnsi" w:eastAsia="宋体" w:hAnsiTheme="majorHAnsi" w:cstheme="majorBidi"/>
      <w:b/>
      <w:bCs/>
      <w:sz w:val="32"/>
      <w:szCs w:val="32"/>
    </w:rPr>
  </w:style>
  <w:style w:type="paragraph" w:styleId="af5">
    <w:name w:val="Body Text"/>
    <w:basedOn w:val="a"/>
    <w:link w:val="af6"/>
    <w:uiPriority w:val="1"/>
    <w:qFormat/>
    <w:pPr>
      <w:autoSpaceDE w:val="0"/>
      <w:autoSpaceDN w:val="0"/>
      <w:jc w:val="left"/>
    </w:pPr>
    <w:rPr>
      <w:rFonts w:ascii="宋体" w:eastAsia="宋体" w:hAnsi="宋体" w:cs="宋体"/>
      <w:kern w:val="0"/>
      <w:sz w:val="32"/>
      <w:szCs w:val="32"/>
      <w:lang w:eastAsia="en-US"/>
    </w:rPr>
  </w:style>
  <w:style w:type="character" w:customStyle="1" w:styleId="af6">
    <w:name w:val="正文文本 字符"/>
    <w:basedOn w:val="a0"/>
    <w:link w:val="af5"/>
    <w:uiPriority w:val="1"/>
    <w:rPr>
      <w:rFonts w:ascii="宋体" w:eastAsia="宋体" w:hAnsi="宋体" w:cs="宋体"/>
      <w:kern w:val="0"/>
      <w:sz w:val="32"/>
      <w:szCs w:val="32"/>
      <w:lang w:eastAsia="en-US"/>
    </w:rPr>
  </w:style>
  <w:style w:type="paragraph" w:customStyle="1" w:styleId="af7">
    <w:name w:val="标准文件_文件名称"/>
    <w:basedOn w:val="a"/>
    <w:next w:val="a"/>
    <w:qFormat/>
    <w:rsid w:val="00652ABA"/>
    <w:pPr>
      <w:framePr w:w="9639" w:h="6976" w:hRule="exact" w:wrap="auto" w:vAnchor="page" w:hAnchor="page" w:y="6408"/>
      <w:widowControl/>
      <w:spacing w:line="700" w:lineRule="exact"/>
      <w:jc w:val="center"/>
    </w:pPr>
    <w:rPr>
      <w:rFonts w:ascii="黑体" w:eastAsia="黑体" w:hAnsi="黑体" w:cs="Times New Roman"/>
      <w:bCs/>
      <w:noProof/>
      <w:kern w:val="0"/>
      <w:sz w:val="52"/>
      <w:szCs w:val="20"/>
    </w:rPr>
  </w:style>
  <w:style w:type="paragraph" w:styleId="af8">
    <w:name w:val="No Spacing"/>
    <w:aliases w:val="图"/>
    <w:link w:val="af9"/>
    <w:uiPriority w:val="1"/>
    <w:qFormat/>
    <w:rsid w:val="00A475C9"/>
    <w:pPr>
      <w:widowControl w:val="0"/>
      <w:spacing w:before="120" w:after="240"/>
      <w:jc w:val="center"/>
    </w:pPr>
    <w:rPr>
      <w:rFonts w:ascii="Times New Roman" w:eastAsia="宋体" w:hAnsi="Times New Roman"/>
      <w:sz w:val="22"/>
      <w:szCs w:val="21"/>
    </w:rPr>
  </w:style>
  <w:style w:type="paragraph" w:customStyle="1" w:styleId="11">
    <w:name w:val="图名1"/>
    <w:basedOn w:val="a"/>
    <w:link w:val="12"/>
    <w:qFormat/>
    <w:rsid w:val="00A475C9"/>
    <w:pPr>
      <w:spacing w:before="120" w:after="240" w:line="400" w:lineRule="exact"/>
      <w:ind w:firstLineChars="200" w:firstLine="200"/>
      <w:jc w:val="center"/>
    </w:pPr>
    <w:rPr>
      <w:rFonts w:ascii="Times New Roman" w:eastAsia="宋体" w:hAnsi="Times New Roman"/>
      <w:sz w:val="22"/>
    </w:rPr>
  </w:style>
  <w:style w:type="character" w:customStyle="1" w:styleId="12">
    <w:name w:val="图名1 字符"/>
    <w:basedOn w:val="a0"/>
    <w:link w:val="11"/>
    <w:rsid w:val="00A475C9"/>
    <w:rPr>
      <w:rFonts w:ascii="Times New Roman" w:eastAsia="宋体" w:hAnsi="Times New Roman"/>
      <w:sz w:val="22"/>
    </w:rPr>
  </w:style>
  <w:style w:type="paragraph" w:customStyle="1" w:styleId="afa">
    <w:name w:val="公式"/>
    <w:basedOn w:val="a"/>
    <w:next w:val="a"/>
    <w:link w:val="afb"/>
    <w:qFormat/>
    <w:rsid w:val="00A475C9"/>
    <w:pPr>
      <w:tabs>
        <w:tab w:val="center" w:pos="1752"/>
        <w:tab w:val="right" w:pos="3504"/>
      </w:tabs>
      <w:spacing w:before="120" w:after="120"/>
      <w:ind w:firstLineChars="200" w:firstLine="200"/>
    </w:pPr>
    <w:rPr>
      <w:rFonts w:ascii="Times New Roman" w:eastAsia="宋体" w:hAnsi="Times New Roman"/>
      <w:sz w:val="24"/>
      <w:szCs w:val="21"/>
    </w:rPr>
  </w:style>
  <w:style w:type="character" w:customStyle="1" w:styleId="af9">
    <w:name w:val="无间隔 字符"/>
    <w:aliases w:val="图 字符"/>
    <w:basedOn w:val="a0"/>
    <w:link w:val="af8"/>
    <w:uiPriority w:val="1"/>
    <w:rsid w:val="00A475C9"/>
    <w:rPr>
      <w:rFonts w:ascii="Times New Roman" w:eastAsia="宋体" w:hAnsi="Times New Roman"/>
      <w:sz w:val="22"/>
      <w:szCs w:val="21"/>
    </w:rPr>
  </w:style>
  <w:style w:type="character" w:customStyle="1" w:styleId="afb">
    <w:name w:val="公式 字符"/>
    <w:basedOn w:val="af9"/>
    <w:link w:val="afa"/>
    <w:rsid w:val="00A475C9"/>
    <w:rPr>
      <w:rFonts w:ascii="Times New Roman" w:eastAsia="宋体" w:hAnsi="Times New Roman"/>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0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6</Pages>
  <Words>360</Words>
  <Characters>2057</Characters>
  <Application>Microsoft Office Word</Application>
  <DocSecurity>0</DocSecurity>
  <Lines>17</Lines>
  <Paragraphs>4</Paragraphs>
  <ScaleCrop>false</ScaleCrop>
  <Company>http://www.deepbbs.org</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subject/>
  <dc:creator>deeplm</dc:creator>
  <cp:keywords/>
  <dc:description/>
  <cp:lastModifiedBy>Administrator</cp:lastModifiedBy>
  <cp:revision>217</cp:revision>
  <cp:lastPrinted>2014-03-17T03:12:00Z</cp:lastPrinted>
  <dcterms:created xsi:type="dcterms:W3CDTF">2014-02-18T02:12:00Z</dcterms:created>
  <dcterms:modified xsi:type="dcterms:W3CDTF">2025-01-13T06:39:00Z</dcterms:modified>
</cp:coreProperties>
</file>